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0125D6">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0125D6">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60DC3945" w:rsidR="00333FAA" w:rsidRPr="005E3A10" w:rsidRDefault="000125D6" w:rsidP="00A53B04">
            <w:pPr>
              <w:rPr>
                <w:rFonts w:cs="Arial"/>
                <w:szCs w:val="24"/>
              </w:rPr>
            </w:pPr>
            <w:r>
              <w:rPr>
                <w:rFonts w:cs="Arial"/>
                <w:szCs w:val="24"/>
              </w:rPr>
              <w:t>25 May 2023</w:t>
            </w:r>
          </w:p>
        </w:tc>
      </w:tr>
      <w:tr w:rsidR="000125D6" w14:paraId="3CC97725" w14:textId="77777777" w:rsidTr="000125D6">
        <w:tc>
          <w:tcPr>
            <w:tcW w:w="3397" w:type="dxa"/>
          </w:tcPr>
          <w:p w14:paraId="18BB8951" w14:textId="77777777" w:rsidR="000125D6" w:rsidRPr="00C13A5F" w:rsidRDefault="000125D6" w:rsidP="000125D6">
            <w:pPr>
              <w:pStyle w:val="Infotext"/>
              <w:spacing w:after="240"/>
              <w:rPr>
                <w:rFonts w:ascii="Arial Black" w:hAnsi="Arial Black"/>
              </w:rPr>
            </w:pPr>
            <w:r w:rsidRPr="00C13A5F">
              <w:rPr>
                <w:rFonts w:ascii="Arial Black" w:hAnsi="Arial Black" w:cs="Arial"/>
              </w:rPr>
              <w:t>Subject:</w:t>
            </w:r>
          </w:p>
        </w:tc>
        <w:tc>
          <w:tcPr>
            <w:tcW w:w="4912" w:type="dxa"/>
          </w:tcPr>
          <w:p w14:paraId="04080E20" w14:textId="77777777" w:rsidR="000125D6" w:rsidRPr="00003F1F" w:rsidRDefault="000125D6" w:rsidP="000125D6">
            <w:r>
              <w:t xml:space="preserve">Pension Fund Procurements for Actuarial Services and for Investment Consultancy Services </w:t>
            </w:r>
          </w:p>
          <w:p w14:paraId="6D8FB2C1" w14:textId="77777777" w:rsidR="000125D6" w:rsidRPr="005E3A10" w:rsidRDefault="000125D6" w:rsidP="000125D6">
            <w:pPr>
              <w:rPr>
                <w:rFonts w:cs="Arial"/>
                <w:szCs w:val="24"/>
              </w:rPr>
            </w:pPr>
          </w:p>
        </w:tc>
      </w:tr>
      <w:tr w:rsidR="000125D6" w14:paraId="32449166" w14:textId="77777777" w:rsidTr="000125D6">
        <w:tc>
          <w:tcPr>
            <w:tcW w:w="3397" w:type="dxa"/>
          </w:tcPr>
          <w:p w14:paraId="17ECA8FA" w14:textId="77777777" w:rsidR="000125D6" w:rsidRPr="00C13A5F" w:rsidRDefault="000125D6" w:rsidP="000125D6">
            <w:pPr>
              <w:pStyle w:val="Infotext"/>
              <w:spacing w:after="240"/>
              <w:rPr>
                <w:rFonts w:ascii="Arial Black" w:hAnsi="Arial Black" w:cs="Arial"/>
              </w:rPr>
            </w:pPr>
            <w:r w:rsidRPr="00C13A5F">
              <w:rPr>
                <w:rFonts w:ascii="Arial Black" w:hAnsi="Arial Black" w:cs="Arial"/>
              </w:rPr>
              <w:t>Key Decision:</w:t>
            </w:r>
          </w:p>
        </w:tc>
        <w:tc>
          <w:tcPr>
            <w:tcW w:w="4912" w:type="dxa"/>
          </w:tcPr>
          <w:p w14:paraId="40A81BD4" w14:textId="0413C44C" w:rsidR="000125D6" w:rsidRDefault="000125D6" w:rsidP="00245F7C">
            <w:pPr>
              <w:pStyle w:val="Infotext"/>
              <w:rPr>
                <w:rFonts w:cs="Arial"/>
                <w:color w:val="000000"/>
                <w:szCs w:val="24"/>
                <w:lang w:val="en-US"/>
              </w:rPr>
            </w:pPr>
            <w:r w:rsidRPr="005E3A10">
              <w:rPr>
                <w:rFonts w:cs="Arial"/>
                <w:sz w:val="24"/>
                <w:szCs w:val="24"/>
              </w:rPr>
              <w:t xml:space="preserve">Yes </w:t>
            </w:r>
            <w:r w:rsidR="00245F7C">
              <w:rPr>
                <w:rFonts w:cs="Arial"/>
                <w:sz w:val="24"/>
                <w:szCs w:val="24"/>
              </w:rPr>
              <w:t>- t</w:t>
            </w:r>
            <w:r w:rsidRPr="00245F7C">
              <w:rPr>
                <w:rFonts w:cs="Arial"/>
                <w:sz w:val="24"/>
                <w:szCs w:val="24"/>
              </w:rPr>
              <w:t>he total value of each of the two contracts is likely to exceed £500,000, all of which will be revenue expenditure</w:t>
            </w:r>
          </w:p>
          <w:p w14:paraId="3EADF2B3" w14:textId="77777777" w:rsidR="000125D6" w:rsidRPr="005E3A10" w:rsidRDefault="000125D6" w:rsidP="000125D6">
            <w:pPr>
              <w:rPr>
                <w:rFonts w:cs="Arial"/>
                <w:szCs w:val="24"/>
              </w:rPr>
            </w:pPr>
          </w:p>
        </w:tc>
      </w:tr>
      <w:tr w:rsidR="000125D6" w14:paraId="79E96200" w14:textId="77777777" w:rsidTr="000125D6">
        <w:tc>
          <w:tcPr>
            <w:tcW w:w="3397" w:type="dxa"/>
          </w:tcPr>
          <w:p w14:paraId="0B8ABDC4" w14:textId="77777777" w:rsidR="000125D6" w:rsidRPr="00C13A5F" w:rsidRDefault="000125D6" w:rsidP="000125D6">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1ECA047A" w:rsidR="000125D6" w:rsidRPr="005E3A10" w:rsidRDefault="000125D6" w:rsidP="000125D6">
            <w:pPr>
              <w:pStyle w:val="Infotext"/>
              <w:rPr>
                <w:rFonts w:cs="Arial"/>
                <w:sz w:val="24"/>
                <w:szCs w:val="24"/>
              </w:rPr>
            </w:pPr>
            <w:r>
              <w:rPr>
                <w:rFonts w:cs="Arial"/>
                <w:sz w:val="24"/>
                <w:szCs w:val="24"/>
              </w:rPr>
              <w:t>Dawn Calvert – Director of Finance and Assurance</w:t>
            </w:r>
          </w:p>
          <w:p w14:paraId="3798BF23" w14:textId="77777777" w:rsidR="000125D6" w:rsidRPr="005E3A10" w:rsidRDefault="000125D6" w:rsidP="000125D6">
            <w:pPr>
              <w:pStyle w:val="Infotext"/>
              <w:rPr>
                <w:rFonts w:cs="Arial"/>
                <w:sz w:val="24"/>
                <w:szCs w:val="24"/>
              </w:rPr>
            </w:pPr>
          </w:p>
        </w:tc>
      </w:tr>
      <w:tr w:rsidR="000125D6" w14:paraId="3B6FD8B1" w14:textId="77777777" w:rsidTr="000125D6">
        <w:tc>
          <w:tcPr>
            <w:tcW w:w="3397" w:type="dxa"/>
          </w:tcPr>
          <w:p w14:paraId="0961945D" w14:textId="77777777" w:rsidR="000125D6" w:rsidRPr="00C13A5F" w:rsidRDefault="000125D6" w:rsidP="000125D6">
            <w:pPr>
              <w:pStyle w:val="Infotext"/>
              <w:spacing w:after="240"/>
              <w:rPr>
                <w:rFonts w:ascii="Arial Black" w:hAnsi="Arial Black"/>
              </w:rPr>
            </w:pPr>
            <w:r w:rsidRPr="00DB6C3D">
              <w:rPr>
                <w:rFonts w:ascii="Arial Black" w:hAnsi="Arial Black"/>
              </w:rPr>
              <w:t>Portfolio Holder:</w:t>
            </w:r>
          </w:p>
        </w:tc>
        <w:tc>
          <w:tcPr>
            <w:tcW w:w="4912" w:type="dxa"/>
          </w:tcPr>
          <w:p w14:paraId="4FDE086A" w14:textId="6663321A" w:rsidR="000125D6" w:rsidRPr="001B5C73" w:rsidRDefault="000125D6" w:rsidP="000125D6">
            <w:pPr>
              <w:rPr>
                <w:rFonts w:cs="Arial"/>
                <w:szCs w:val="24"/>
              </w:rPr>
            </w:pPr>
            <w:r>
              <w:rPr>
                <w:rFonts w:cs="Arial"/>
                <w:szCs w:val="24"/>
              </w:rPr>
              <w:t>Cllr David Ashton - Portfolio Holder for Finance and Human Resources</w:t>
            </w:r>
          </w:p>
          <w:p w14:paraId="39A9A01A" w14:textId="5F4AB3BB" w:rsidR="000125D6" w:rsidRPr="005E3A10" w:rsidRDefault="000125D6" w:rsidP="000125D6">
            <w:pPr>
              <w:pStyle w:val="Infotext"/>
              <w:rPr>
                <w:rFonts w:cs="Arial"/>
                <w:color w:val="FF0000"/>
                <w:sz w:val="24"/>
                <w:szCs w:val="24"/>
              </w:rPr>
            </w:pPr>
          </w:p>
        </w:tc>
      </w:tr>
      <w:tr w:rsidR="000125D6" w14:paraId="3CF618C8" w14:textId="77777777" w:rsidTr="000125D6">
        <w:tc>
          <w:tcPr>
            <w:tcW w:w="3397" w:type="dxa"/>
          </w:tcPr>
          <w:p w14:paraId="4CD8D092" w14:textId="77777777" w:rsidR="000125D6" w:rsidRPr="00C13A5F" w:rsidRDefault="000125D6" w:rsidP="000125D6">
            <w:pPr>
              <w:pStyle w:val="Infotext"/>
              <w:spacing w:after="240"/>
              <w:rPr>
                <w:rFonts w:ascii="Arial Black" w:hAnsi="Arial Black"/>
              </w:rPr>
            </w:pPr>
            <w:r w:rsidRPr="00DB6C3D">
              <w:rPr>
                <w:rFonts w:ascii="Arial Black" w:hAnsi="Arial Black"/>
              </w:rPr>
              <w:t>Exempt:</w:t>
            </w:r>
          </w:p>
        </w:tc>
        <w:tc>
          <w:tcPr>
            <w:tcW w:w="4912" w:type="dxa"/>
          </w:tcPr>
          <w:p w14:paraId="6BA59D2C" w14:textId="37F070E4" w:rsidR="000125D6" w:rsidRPr="00245F7C" w:rsidRDefault="00020404" w:rsidP="000125D6">
            <w:pPr>
              <w:pStyle w:val="Infotext"/>
              <w:rPr>
                <w:sz w:val="24"/>
                <w:szCs w:val="24"/>
              </w:rPr>
            </w:pPr>
            <w:r>
              <w:rPr>
                <w:sz w:val="24"/>
                <w:szCs w:val="24"/>
              </w:rPr>
              <w:t xml:space="preserve">No, except for </w:t>
            </w:r>
            <w:r w:rsidR="00910FD4" w:rsidRPr="00910FD4">
              <w:rPr>
                <w:sz w:val="24"/>
                <w:szCs w:val="24"/>
              </w:rPr>
              <w:t xml:space="preserve">Appendix </w:t>
            </w:r>
            <w:r w:rsidR="00245F7C" w:rsidRPr="00910FD4">
              <w:rPr>
                <w:sz w:val="24"/>
                <w:szCs w:val="24"/>
              </w:rPr>
              <w:t>2</w:t>
            </w:r>
            <w:r w:rsidR="00245F7C">
              <w:rPr>
                <w:sz w:val="24"/>
                <w:szCs w:val="24"/>
              </w:rPr>
              <w:t>, which</w:t>
            </w:r>
            <w:r>
              <w:rPr>
                <w:sz w:val="24"/>
                <w:szCs w:val="24"/>
              </w:rPr>
              <w:t xml:space="preserve"> </w:t>
            </w:r>
            <w:r w:rsidR="00910FD4" w:rsidRPr="00910FD4">
              <w:rPr>
                <w:sz w:val="24"/>
                <w:szCs w:val="24"/>
              </w:rPr>
              <w:t xml:space="preserve">is exempt under </w:t>
            </w:r>
            <w:r w:rsidR="000125D6" w:rsidRPr="00245F7C">
              <w:rPr>
                <w:sz w:val="24"/>
                <w:szCs w:val="24"/>
              </w:rPr>
              <w:t xml:space="preserve">paragraph 3, Part 1 of Schedule 12A to the Local Government Act 1972 (as amended) as it contains information relating to the financial </w:t>
            </w:r>
            <w:r w:rsidR="00C51B88" w:rsidRPr="00245F7C">
              <w:rPr>
                <w:sz w:val="24"/>
                <w:szCs w:val="24"/>
              </w:rPr>
              <w:t>and</w:t>
            </w:r>
            <w:r w:rsidR="000125D6" w:rsidRPr="00245F7C">
              <w:rPr>
                <w:sz w:val="24"/>
                <w:szCs w:val="24"/>
              </w:rPr>
              <w:t xml:space="preserve"> business affairs of </w:t>
            </w:r>
            <w:r w:rsidR="00C51B88" w:rsidRPr="00245F7C">
              <w:rPr>
                <w:sz w:val="24"/>
                <w:szCs w:val="24"/>
              </w:rPr>
              <w:t xml:space="preserve">the current contractors and the </w:t>
            </w:r>
            <w:r w:rsidR="00831528" w:rsidRPr="00245F7C">
              <w:rPr>
                <w:sz w:val="24"/>
                <w:szCs w:val="24"/>
              </w:rPr>
              <w:t>council and a procurement exercise is pending</w:t>
            </w:r>
            <w:r w:rsidR="000125D6" w:rsidRPr="00245F7C">
              <w:rPr>
                <w:sz w:val="24"/>
                <w:szCs w:val="24"/>
              </w:rPr>
              <w:t>.</w:t>
            </w:r>
          </w:p>
          <w:p w14:paraId="755E47D1" w14:textId="4B8BA35C" w:rsidR="000125D6" w:rsidRPr="005E3A10" w:rsidRDefault="000125D6" w:rsidP="000125D6">
            <w:pPr>
              <w:pStyle w:val="Infotext"/>
              <w:rPr>
                <w:rFonts w:cs="Arial"/>
                <w:color w:val="FF0000"/>
                <w:sz w:val="24"/>
                <w:szCs w:val="24"/>
              </w:rPr>
            </w:pPr>
          </w:p>
        </w:tc>
      </w:tr>
      <w:tr w:rsidR="000125D6" w14:paraId="577CD75A" w14:textId="77777777" w:rsidTr="000125D6">
        <w:tc>
          <w:tcPr>
            <w:tcW w:w="3397" w:type="dxa"/>
          </w:tcPr>
          <w:p w14:paraId="4821943C" w14:textId="77777777" w:rsidR="000125D6" w:rsidRPr="00C13A5F" w:rsidRDefault="000125D6" w:rsidP="000125D6">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0685F37A" w:rsidR="000125D6" w:rsidRPr="005E3A10" w:rsidRDefault="000125D6" w:rsidP="000125D6">
            <w:pPr>
              <w:pStyle w:val="Infotext"/>
              <w:rPr>
                <w:rFonts w:cs="Arial"/>
                <w:szCs w:val="24"/>
              </w:rPr>
            </w:pPr>
            <w:r w:rsidRPr="005E3A10">
              <w:rPr>
                <w:rFonts w:cs="Arial"/>
                <w:sz w:val="24"/>
                <w:szCs w:val="24"/>
              </w:rPr>
              <w:t xml:space="preserve">Yes </w:t>
            </w:r>
          </w:p>
        </w:tc>
      </w:tr>
      <w:tr w:rsidR="000125D6" w14:paraId="7E5497E1" w14:textId="77777777" w:rsidTr="000125D6">
        <w:tc>
          <w:tcPr>
            <w:tcW w:w="3397" w:type="dxa"/>
          </w:tcPr>
          <w:p w14:paraId="6B5E6A6A" w14:textId="77777777" w:rsidR="000125D6" w:rsidRPr="00C13A5F" w:rsidRDefault="000125D6" w:rsidP="000125D6">
            <w:pPr>
              <w:pStyle w:val="Infotext"/>
              <w:spacing w:after="240"/>
              <w:rPr>
                <w:rFonts w:ascii="Arial Black" w:hAnsi="Arial Black" w:cs="Arial"/>
              </w:rPr>
            </w:pPr>
            <w:r>
              <w:rPr>
                <w:rFonts w:ascii="Arial Black" w:hAnsi="Arial Black" w:cs="Arial"/>
              </w:rPr>
              <w:t>Wards affected:</w:t>
            </w:r>
          </w:p>
        </w:tc>
        <w:tc>
          <w:tcPr>
            <w:tcW w:w="4912" w:type="dxa"/>
          </w:tcPr>
          <w:p w14:paraId="52E38AE7" w14:textId="08156D01" w:rsidR="000125D6" w:rsidRPr="00245F7C" w:rsidRDefault="000125D6" w:rsidP="000125D6">
            <w:pPr>
              <w:rPr>
                <w:rFonts w:cs="Arial"/>
                <w:bCs/>
                <w:color w:val="FF0000"/>
                <w:szCs w:val="24"/>
              </w:rPr>
            </w:pPr>
            <w:r w:rsidRPr="00245F7C">
              <w:rPr>
                <w:rFonts w:cs="Arial"/>
                <w:bCs/>
                <w:szCs w:val="24"/>
              </w:rPr>
              <w:t>None</w:t>
            </w:r>
          </w:p>
        </w:tc>
      </w:tr>
      <w:tr w:rsidR="000125D6" w14:paraId="5F1445BF" w14:textId="77777777" w:rsidTr="000125D6">
        <w:tc>
          <w:tcPr>
            <w:tcW w:w="3397" w:type="dxa"/>
          </w:tcPr>
          <w:p w14:paraId="0E539C63" w14:textId="77777777" w:rsidR="000125D6" w:rsidRPr="00C13A5F" w:rsidRDefault="000125D6" w:rsidP="000125D6">
            <w:pPr>
              <w:pStyle w:val="Infotext"/>
              <w:spacing w:after="240"/>
              <w:rPr>
                <w:rFonts w:ascii="Arial Black" w:hAnsi="Arial Black" w:cs="Arial"/>
              </w:rPr>
            </w:pPr>
            <w:r w:rsidRPr="00C13A5F">
              <w:rPr>
                <w:rFonts w:ascii="Arial Black" w:hAnsi="Arial Black" w:cs="Arial"/>
              </w:rPr>
              <w:t>Enclosures:</w:t>
            </w:r>
          </w:p>
        </w:tc>
        <w:tc>
          <w:tcPr>
            <w:tcW w:w="4912" w:type="dxa"/>
          </w:tcPr>
          <w:p w14:paraId="02746B61" w14:textId="77777777" w:rsidR="000125D6" w:rsidRDefault="001009B3" w:rsidP="000125D6">
            <w:pPr>
              <w:pStyle w:val="Infotext"/>
              <w:rPr>
                <w:rFonts w:cs="Arial"/>
                <w:sz w:val="24"/>
                <w:szCs w:val="24"/>
              </w:rPr>
            </w:pPr>
            <w:r>
              <w:rPr>
                <w:rFonts w:cs="Arial"/>
                <w:sz w:val="24"/>
                <w:szCs w:val="24"/>
              </w:rPr>
              <w:t xml:space="preserve">Appendix 1 – Report to </w:t>
            </w:r>
            <w:r w:rsidR="00C96050">
              <w:rPr>
                <w:rFonts w:cs="Arial"/>
                <w:sz w:val="24"/>
                <w:szCs w:val="24"/>
              </w:rPr>
              <w:t>P</w:t>
            </w:r>
            <w:r>
              <w:rPr>
                <w:rFonts w:cs="Arial"/>
                <w:sz w:val="24"/>
                <w:szCs w:val="24"/>
              </w:rPr>
              <w:t xml:space="preserve">ension </w:t>
            </w:r>
            <w:r w:rsidR="00C96050">
              <w:rPr>
                <w:rFonts w:cs="Arial"/>
                <w:sz w:val="24"/>
                <w:szCs w:val="24"/>
              </w:rPr>
              <w:t>F</w:t>
            </w:r>
            <w:r>
              <w:rPr>
                <w:rFonts w:cs="Arial"/>
                <w:sz w:val="24"/>
                <w:szCs w:val="24"/>
              </w:rPr>
              <w:t>und Committee 29 March 2023.</w:t>
            </w:r>
          </w:p>
          <w:p w14:paraId="6668D730" w14:textId="4E80883C" w:rsidR="00C90630" w:rsidRPr="005E3A10" w:rsidRDefault="00C90630" w:rsidP="000125D6">
            <w:pPr>
              <w:pStyle w:val="Infotext"/>
              <w:rPr>
                <w:color w:val="FF0000"/>
                <w:sz w:val="24"/>
                <w:szCs w:val="24"/>
              </w:rPr>
            </w:pPr>
            <w:r w:rsidRPr="00C90630">
              <w:rPr>
                <w:rFonts w:cs="Arial"/>
                <w:sz w:val="24"/>
                <w:szCs w:val="24"/>
              </w:rPr>
              <w:t xml:space="preserve">Appendix 2 </w:t>
            </w:r>
            <w:r w:rsidR="00245F7C">
              <w:rPr>
                <w:rFonts w:cs="Arial"/>
                <w:sz w:val="24"/>
                <w:szCs w:val="24"/>
              </w:rPr>
              <w:t>(</w:t>
            </w:r>
            <w:r w:rsidRPr="00C90630">
              <w:rPr>
                <w:rFonts w:cs="Arial"/>
                <w:sz w:val="24"/>
                <w:szCs w:val="24"/>
              </w:rPr>
              <w:t>Exempt</w:t>
            </w:r>
            <w:r w:rsidR="00245F7C">
              <w:rPr>
                <w:rFonts w:cs="Arial"/>
                <w:sz w:val="24"/>
                <w:szCs w:val="24"/>
              </w:rPr>
              <w:t xml:space="preserve">) </w:t>
            </w:r>
            <w:r>
              <w:rPr>
                <w:rFonts w:cs="Arial"/>
                <w:sz w:val="24"/>
                <w:szCs w:val="24"/>
              </w:rPr>
              <w:t xml:space="preserve">– </w:t>
            </w:r>
            <w:r w:rsidR="004F225F">
              <w:rPr>
                <w:rFonts w:cs="Arial"/>
                <w:sz w:val="24"/>
                <w:szCs w:val="24"/>
              </w:rPr>
              <w:t xml:space="preserve">Current and </w:t>
            </w:r>
            <w:r>
              <w:rPr>
                <w:rFonts w:cs="Arial"/>
                <w:sz w:val="24"/>
                <w:szCs w:val="24"/>
              </w:rPr>
              <w:t>Estimated Costs of the new contracts</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09F36787" w:rsidR="001C7E35" w:rsidRPr="00DE1D20" w:rsidRDefault="00DE1D20" w:rsidP="00605A4C">
            <w:r>
              <w:t>This report sets out the process to ensure that the Council has new contracts for Pension Fund Actuarial Advice and Investment Consultancy Services as the existing ones expire.</w:t>
            </w:r>
          </w:p>
          <w:p w14:paraId="02274D72" w14:textId="77777777" w:rsidR="001C7E35" w:rsidRPr="00605A4C" w:rsidRDefault="00605A4C" w:rsidP="00E13BEF">
            <w:pPr>
              <w:pStyle w:val="Heading3"/>
              <w:spacing w:before="240"/>
            </w:pPr>
            <w:r>
              <w:t>Recommen</w:t>
            </w:r>
            <w:r w:rsidR="001C7E35" w:rsidRPr="00605A4C">
              <w:t xml:space="preserve">dations: </w:t>
            </w:r>
          </w:p>
          <w:p w14:paraId="566008CD" w14:textId="77777777" w:rsidR="00DE1D20" w:rsidRDefault="001C7E35" w:rsidP="00605A4C">
            <w:r>
              <w:t>Cabinet is requested to</w:t>
            </w:r>
            <w:r w:rsidR="00DE1D20">
              <w:t xml:space="preserve"> </w:t>
            </w:r>
          </w:p>
          <w:p w14:paraId="38D2B60D" w14:textId="1C2708F0" w:rsidR="001C7E35" w:rsidRDefault="00245F7C" w:rsidP="00207935">
            <w:pPr>
              <w:pStyle w:val="ListParagraph"/>
              <w:numPr>
                <w:ilvl w:val="0"/>
                <w:numId w:val="7"/>
              </w:numPr>
            </w:pPr>
            <w:r>
              <w:t>A</w:t>
            </w:r>
            <w:r w:rsidR="00DE1D20" w:rsidRPr="00CF711A">
              <w:t xml:space="preserve">pprove the proposed arrangements for procuring </w:t>
            </w:r>
            <w:r w:rsidR="0062430E" w:rsidRPr="00CF711A">
              <w:t xml:space="preserve">two </w:t>
            </w:r>
            <w:r w:rsidR="00DE1D20" w:rsidRPr="00CF711A">
              <w:t>contracts</w:t>
            </w:r>
            <w:r w:rsidR="00286609">
              <w:t>,</w:t>
            </w:r>
            <w:r w:rsidR="00DE1D20" w:rsidRPr="00CF711A">
              <w:t xml:space="preserve"> </w:t>
            </w:r>
            <w:r w:rsidR="00DE58CB" w:rsidRPr="00CF711A">
              <w:t xml:space="preserve">firstly </w:t>
            </w:r>
            <w:r w:rsidR="00DE1D20" w:rsidRPr="00CF711A">
              <w:t xml:space="preserve">for Pension Fund Actuarial Advice Services and </w:t>
            </w:r>
            <w:r w:rsidR="00DE58CB" w:rsidRPr="00CF711A">
              <w:t xml:space="preserve">secondly </w:t>
            </w:r>
            <w:r w:rsidR="00DE1D20" w:rsidRPr="00CF711A">
              <w:t xml:space="preserve">for Pension Fund Investment Consultancy Services, and </w:t>
            </w:r>
          </w:p>
          <w:p w14:paraId="4E4FCE4B" w14:textId="77777777" w:rsidR="00832517" w:rsidRPr="00CF711A" w:rsidRDefault="00832517" w:rsidP="00EC0638"/>
          <w:p w14:paraId="35CF8202" w14:textId="58D917CB" w:rsidR="00832517" w:rsidRDefault="00832517" w:rsidP="00207935">
            <w:pPr>
              <w:pStyle w:val="ListParagraph"/>
              <w:numPr>
                <w:ilvl w:val="0"/>
                <w:numId w:val="7"/>
              </w:numPr>
            </w:pPr>
            <w:r>
              <w:t xml:space="preserve">Approve the commencement of the re-procurement of the two contracts via the National </w:t>
            </w:r>
            <w:r w:rsidR="00020404">
              <w:t>Local Government Pension Scheme (</w:t>
            </w:r>
            <w:r>
              <w:t>LGPS</w:t>
            </w:r>
            <w:r w:rsidR="00020404">
              <w:t>)</w:t>
            </w:r>
            <w:r>
              <w:t xml:space="preserve"> Frameworks </w:t>
            </w:r>
          </w:p>
          <w:p w14:paraId="38AFD7B9" w14:textId="77777777" w:rsidR="00832517" w:rsidRDefault="00832517" w:rsidP="00EC0638">
            <w:pPr>
              <w:pStyle w:val="ListParagraph"/>
            </w:pPr>
          </w:p>
          <w:p w14:paraId="7C90A811" w14:textId="325EFEB6" w:rsidR="00DE1D20" w:rsidRPr="00DE1D20" w:rsidRDefault="00245F7C" w:rsidP="00207935">
            <w:pPr>
              <w:pStyle w:val="ListParagraph"/>
              <w:numPr>
                <w:ilvl w:val="0"/>
                <w:numId w:val="7"/>
              </w:numPr>
            </w:pPr>
            <w:r>
              <w:t>D</w:t>
            </w:r>
            <w:r w:rsidR="00DE1D20">
              <w:t xml:space="preserve">elegate authority to </w:t>
            </w:r>
            <w:r w:rsidR="00DE1D20" w:rsidRPr="00100635">
              <w:rPr>
                <w:rFonts w:cs="Arial"/>
                <w:szCs w:val="24"/>
              </w:rPr>
              <w:t xml:space="preserve">the Director of Finance </w:t>
            </w:r>
            <w:r w:rsidR="00DE1D20">
              <w:rPr>
                <w:rFonts w:cs="Arial"/>
                <w:szCs w:val="24"/>
              </w:rPr>
              <w:t xml:space="preserve">and Assurance </w:t>
            </w:r>
            <w:r w:rsidR="00DE1D20" w:rsidRPr="00100635">
              <w:rPr>
                <w:rFonts w:cs="Arial"/>
                <w:szCs w:val="24"/>
              </w:rPr>
              <w:t xml:space="preserve">(S151 Officer), </w:t>
            </w:r>
            <w:r w:rsidR="00020404">
              <w:rPr>
                <w:rFonts w:cs="Arial"/>
                <w:szCs w:val="24"/>
              </w:rPr>
              <w:t>following</w:t>
            </w:r>
            <w:r w:rsidR="00DE1D20" w:rsidRPr="00100635">
              <w:rPr>
                <w:rFonts w:cs="Arial"/>
                <w:szCs w:val="24"/>
              </w:rPr>
              <w:t xml:space="preserve"> consultation with </w:t>
            </w:r>
            <w:r w:rsidR="00020404">
              <w:rPr>
                <w:rFonts w:cs="Arial"/>
                <w:szCs w:val="24"/>
              </w:rPr>
              <w:t>t</w:t>
            </w:r>
            <w:r w:rsidR="00DE1D20" w:rsidRPr="00100635">
              <w:rPr>
                <w:rFonts w:cs="Arial"/>
                <w:szCs w:val="24"/>
              </w:rPr>
              <w:t xml:space="preserve">he Chair of </w:t>
            </w:r>
            <w:r w:rsidR="00020404">
              <w:rPr>
                <w:rFonts w:cs="Arial"/>
                <w:szCs w:val="24"/>
              </w:rPr>
              <w:t>Harrow’s</w:t>
            </w:r>
            <w:r w:rsidR="00DE1D20" w:rsidRPr="00100635">
              <w:rPr>
                <w:rFonts w:cs="Arial"/>
                <w:szCs w:val="24"/>
              </w:rPr>
              <w:t xml:space="preserve"> Pension Fund Committee and the Portfolio Holder for Finance &amp; Human Resources (if this is different to the chair)</w:t>
            </w:r>
            <w:r w:rsidR="00DE1D20">
              <w:rPr>
                <w:rFonts w:cs="Arial"/>
                <w:szCs w:val="24"/>
              </w:rPr>
              <w:t xml:space="preserve"> to </w:t>
            </w:r>
          </w:p>
          <w:p w14:paraId="7FCC5EDB" w14:textId="35E16186" w:rsidR="00DE1D20" w:rsidRPr="00DE1D20" w:rsidRDefault="00DE1D20" w:rsidP="00207935">
            <w:pPr>
              <w:pStyle w:val="ListParagraph"/>
              <w:numPr>
                <w:ilvl w:val="0"/>
                <w:numId w:val="8"/>
              </w:numPr>
            </w:pPr>
            <w:r w:rsidRPr="00DE1D20">
              <w:rPr>
                <w:rFonts w:cs="Arial"/>
                <w:szCs w:val="24"/>
              </w:rPr>
              <w:t>approve the tender documents</w:t>
            </w:r>
          </w:p>
          <w:p w14:paraId="5E600240" w14:textId="4EB6F5E5" w:rsidR="00DE1D20" w:rsidRPr="00DE1D20" w:rsidRDefault="00DE1D20" w:rsidP="00207935">
            <w:pPr>
              <w:pStyle w:val="ListParagraph"/>
              <w:numPr>
                <w:ilvl w:val="0"/>
                <w:numId w:val="8"/>
              </w:numPr>
            </w:pPr>
            <w:r w:rsidRPr="00DE1D20">
              <w:rPr>
                <w:rFonts w:cs="Arial"/>
                <w:szCs w:val="24"/>
              </w:rPr>
              <w:t xml:space="preserve">award the contracts </w:t>
            </w:r>
            <w:r>
              <w:rPr>
                <w:rFonts w:cs="Arial"/>
                <w:szCs w:val="24"/>
              </w:rPr>
              <w:t xml:space="preserve">once tenders have been received and evaluated. </w:t>
            </w:r>
          </w:p>
          <w:p w14:paraId="2443337C" w14:textId="77777777" w:rsidR="00DE1D20" w:rsidRPr="00100635" w:rsidRDefault="00DE1D20" w:rsidP="00DE1D20">
            <w:pPr>
              <w:pStyle w:val="ListParagraph"/>
              <w:rPr>
                <w:rFonts w:cs="Arial"/>
                <w:szCs w:val="24"/>
              </w:rPr>
            </w:pPr>
          </w:p>
          <w:p w14:paraId="313BC81E" w14:textId="208EAC24" w:rsidR="00333FAA" w:rsidRDefault="00E13BEF" w:rsidP="00DE1D20">
            <w:pPr>
              <w:pStyle w:val="Heading3"/>
              <w:ind w:left="0" w:firstLine="0"/>
              <w:jc w:val="left"/>
            </w:pPr>
            <w:r>
              <w:t>Reason</w:t>
            </w:r>
            <w:r w:rsidR="00020404">
              <w:t xml:space="preserve"> (for the recommendations)</w:t>
            </w:r>
            <w:r>
              <w:t xml:space="preserve">: </w:t>
            </w:r>
            <w:r w:rsidR="00DE1D20" w:rsidRPr="00DE1D20">
              <w:rPr>
                <w:b w:val="0"/>
                <w:bCs w:val="0"/>
                <w:sz w:val="24"/>
                <w:szCs w:val="24"/>
              </w:rPr>
              <w:t xml:space="preserve">To </w:t>
            </w:r>
            <w:r w:rsidR="00E770A0">
              <w:rPr>
                <w:b w:val="0"/>
                <w:bCs w:val="0"/>
                <w:sz w:val="24"/>
                <w:szCs w:val="24"/>
              </w:rPr>
              <w:t xml:space="preserve">facilitate a compliant procurement and hence to </w:t>
            </w:r>
            <w:r w:rsidR="00DE1D20" w:rsidRPr="00DE1D20">
              <w:rPr>
                <w:b w:val="0"/>
                <w:bCs w:val="0"/>
                <w:sz w:val="24"/>
                <w:szCs w:val="24"/>
              </w:rPr>
              <w:t xml:space="preserve">ensure </w:t>
            </w:r>
            <w:r w:rsidR="00E770A0">
              <w:rPr>
                <w:b w:val="0"/>
                <w:bCs w:val="0"/>
                <w:sz w:val="24"/>
                <w:szCs w:val="24"/>
              </w:rPr>
              <w:t xml:space="preserve">that </w:t>
            </w:r>
            <w:r w:rsidR="00DE1D20" w:rsidRPr="00DE1D20">
              <w:rPr>
                <w:b w:val="0"/>
                <w:bCs w:val="0"/>
                <w:sz w:val="24"/>
                <w:szCs w:val="24"/>
              </w:rPr>
              <w:t xml:space="preserve">the Council continues to have contracts in place </w:t>
            </w:r>
            <w:r w:rsidR="00E770A0">
              <w:rPr>
                <w:b w:val="0"/>
                <w:bCs w:val="0"/>
                <w:sz w:val="24"/>
                <w:szCs w:val="24"/>
              </w:rPr>
              <w:t>to enable it to obtain the appropriate expertise and advice so as to</w:t>
            </w:r>
            <w:r w:rsidR="00DE1D20" w:rsidRPr="00DE1D20">
              <w:rPr>
                <w:b w:val="0"/>
                <w:bCs w:val="0"/>
                <w:sz w:val="24"/>
                <w:szCs w:val="24"/>
              </w:rPr>
              <w:t xml:space="preserve"> meet its statutory obligations as the</w:t>
            </w:r>
            <w:r w:rsidR="00DE1D20" w:rsidRPr="00DE1D20">
              <w:rPr>
                <w:sz w:val="24"/>
                <w:szCs w:val="24"/>
              </w:rPr>
              <w:t xml:space="preserve"> </w:t>
            </w:r>
            <w:r w:rsidR="00DE1D20" w:rsidRPr="00DE1D20">
              <w:rPr>
                <w:b w:val="0"/>
                <w:bCs w:val="0"/>
                <w:sz w:val="24"/>
                <w:szCs w:val="24"/>
              </w:rPr>
              <w:t>administering authority for the London Borough of Harrow Pension Fund.</w:t>
            </w:r>
            <w:r w:rsidR="00DE1D20">
              <w:rPr>
                <w:b w:val="0"/>
                <w:bCs w:val="0"/>
              </w:rPr>
              <w:t xml:space="preserve"> </w:t>
            </w:r>
          </w:p>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6A5A4B5F" w14:textId="77777777" w:rsidR="00963524" w:rsidRDefault="00963524" w:rsidP="001C7E35"/>
    <w:p w14:paraId="5A36F951" w14:textId="0379CCA1" w:rsidR="001C7E35" w:rsidRDefault="00DE1D20" w:rsidP="001C7E35">
      <w:r>
        <w:t xml:space="preserve">The Council is the Administering Authority for the Local Government Pension Scheme (LGPS) in Harrow. This means it is responsible for managing </w:t>
      </w:r>
      <w:r w:rsidR="00963524">
        <w:t xml:space="preserve">all aspects of </w:t>
      </w:r>
      <w:r>
        <w:t>the Harrow Pension Fund</w:t>
      </w:r>
      <w:r w:rsidR="00207935">
        <w:t xml:space="preserve"> in accordance with the LGPS Regulations 2013 and the LGPS (Management and Investment of Funds) </w:t>
      </w:r>
      <w:r w:rsidR="00BF52C7">
        <w:t>R</w:t>
      </w:r>
      <w:r w:rsidR="00207935">
        <w:t>egulations 2016.</w:t>
      </w:r>
      <w:r>
        <w:t xml:space="preserve"> </w:t>
      </w:r>
      <w:r w:rsidR="00207935">
        <w:t xml:space="preserve"> To comply with those Regulations, the Council is required to obtain specialist advice in respect of both actuarial services and investment of funds The existing contracts for these services expire in the next year, hence the requirement to procure new contracts. </w:t>
      </w:r>
    </w:p>
    <w:p w14:paraId="0A078380" w14:textId="77777777" w:rsidR="00AD1E77" w:rsidRDefault="001C7E35" w:rsidP="00A1211C">
      <w:pPr>
        <w:pStyle w:val="Heading3"/>
        <w:spacing w:before="240"/>
        <w:ind w:left="0" w:firstLine="0"/>
        <w:jc w:val="left"/>
      </w:pPr>
      <w:r>
        <w:t xml:space="preserve">Options considered  </w:t>
      </w:r>
    </w:p>
    <w:p w14:paraId="55EDFD6A" w14:textId="58D0FC37" w:rsidR="00207935" w:rsidRDefault="00207935" w:rsidP="00AD1E77">
      <w:pPr>
        <w:rPr>
          <w:b/>
          <w:color w:val="FF0000"/>
        </w:rPr>
      </w:pPr>
    </w:p>
    <w:p w14:paraId="50BD3A9E" w14:textId="45439C06" w:rsidR="00CF6A37" w:rsidRDefault="00CF6A37" w:rsidP="00CF6A37">
      <w:pPr>
        <w:pStyle w:val="ListParagraph"/>
        <w:numPr>
          <w:ilvl w:val="0"/>
          <w:numId w:val="11"/>
        </w:numPr>
        <w:rPr>
          <w:bCs/>
        </w:rPr>
      </w:pPr>
      <w:r w:rsidRPr="00CF6A37">
        <w:rPr>
          <w:bCs/>
        </w:rPr>
        <w:t xml:space="preserve">In its capacity as Administering Authority for the LBH pension fund, the Council is required by the various LGPS Regulations to have contracts in place for these services. </w:t>
      </w:r>
    </w:p>
    <w:p w14:paraId="4DC57C6D" w14:textId="77777777" w:rsidR="00CF6A37" w:rsidRPr="00CF6A37" w:rsidRDefault="00CF6A37" w:rsidP="00CF6A37">
      <w:pPr>
        <w:rPr>
          <w:bCs/>
        </w:rPr>
      </w:pPr>
    </w:p>
    <w:p w14:paraId="067E968B" w14:textId="062BE622" w:rsidR="00CF6A37" w:rsidRDefault="00CF6A37" w:rsidP="00CF6A37">
      <w:pPr>
        <w:pStyle w:val="ListParagraph"/>
        <w:numPr>
          <w:ilvl w:val="0"/>
          <w:numId w:val="11"/>
        </w:numPr>
        <w:rPr>
          <w:bCs/>
        </w:rPr>
      </w:pPr>
      <w:r>
        <w:rPr>
          <w:bCs/>
        </w:rPr>
        <w:lastRenderedPageBreak/>
        <w:t>The following options were r</w:t>
      </w:r>
      <w:r w:rsidRPr="00CF6A37">
        <w:rPr>
          <w:bCs/>
        </w:rPr>
        <w:t xml:space="preserve">ejected </w:t>
      </w:r>
      <w:r>
        <w:rPr>
          <w:bCs/>
        </w:rPr>
        <w:t>- the</w:t>
      </w:r>
      <w:r w:rsidRPr="00CF6A37">
        <w:rPr>
          <w:bCs/>
        </w:rPr>
        <w:t xml:space="preserve"> reasons for rejection </w:t>
      </w:r>
      <w:r>
        <w:rPr>
          <w:bCs/>
        </w:rPr>
        <w:t xml:space="preserve">are shown in each case </w:t>
      </w:r>
    </w:p>
    <w:p w14:paraId="6A91B58C" w14:textId="77777777" w:rsidR="00804CC3" w:rsidRDefault="00804CC3" w:rsidP="00804CC3">
      <w:pPr>
        <w:pStyle w:val="ListParagraph"/>
        <w:numPr>
          <w:ilvl w:val="0"/>
          <w:numId w:val="13"/>
        </w:numPr>
        <w:rPr>
          <w:rFonts w:cs="Arial"/>
          <w:bCs/>
          <w:szCs w:val="24"/>
        </w:rPr>
      </w:pPr>
      <w:r w:rsidRPr="008C7606">
        <w:rPr>
          <w:rFonts w:cs="Arial"/>
          <w:bCs/>
          <w:szCs w:val="24"/>
        </w:rPr>
        <w:t xml:space="preserve">Open tender </w:t>
      </w:r>
      <w:r>
        <w:rPr>
          <w:rFonts w:cs="Arial"/>
          <w:bCs/>
          <w:szCs w:val="24"/>
        </w:rPr>
        <w:t>– as suitable LGPS frameworks exist, open tender would be a much less efficient route.</w:t>
      </w:r>
    </w:p>
    <w:p w14:paraId="72EEA056" w14:textId="72ABFAE7" w:rsidR="00804CC3" w:rsidRDefault="00804CC3" w:rsidP="00804CC3">
      <w:pPr>
        <w:pStyle w:val="ListParagraph"/>
        <w:numPr>
          <w:ilvl w:val="0"/>
          <w:numId w:val="13"/>
        </w:numPr>
        <w:rPr>
          <w:rFonts w:cs="Arial"/>
          <w:bCs/>
          <w:szCs w:val="24"/>
        </w:rPr>
      </w:pPr>
      <w:r w:rsidRPr="00CF6A37">
        <w:rPr>
          <w:rFonts w:cs="Arial"/>
          <w:bCs/>
          <w:szCs w:val="24"/>
        </w:rPr>
        <w:t xml:space="preserve">Direct award - the frameworks do not permit this approach and </w:t>
      </w:r>
      <w:r>
        <w:rPr>
          <w:rFonts w:cs="Arial"/>
          <w:bCs/>
          <w:szCs w:val="24"/>
        </w:rPr>
        <w:t xml:space="preserve">therefore </w:t>
      </w:r>
      <w:r w:rsidRPr="00CF6A37">
        <w:rPr>
          <w:rFonts w:cs="Arial"/>
          <w:bCs/>
          <w:szCs w:val="24"/>
        </w:rPr>
        <w:t xml:space="preserve">doing so would be in breach of </w:t>
      </w:r>
      <w:r w:rsidR="00D02F70">
        <w:rPr>
          <w:rFonts w:cs="Arial"/>
          <w:bCs/>
          <w:szCs w:val="24"/>
        </w:rPr>
        <w:t>public</w:t>
      </w:r>
      <w:r w:rsidRPr="00CF6A37">
        <w:rPr>
          <w:rFonts w:cs="Arial"/>
          <w:bCs/>
          <w:szCs w:val="24"/>
        </w:rPr>
        <w:t xml:space="preserve"> procurement rules.</w:t>
      </w:r>
    </w:p>
    <w:p w14:paraId="4789F356" w14:textId="4AC55585" w:rsidR="00804CC3" w:rsidRPr="00CF6A37" w:rsidRDefault="00804CC3" w:rsidP="00804CC3">
      <w:pPr>
        <w:pStyle w:val="ListParagraph"/>
        <w:numPr>
          <w:ilvl w:val="0"/>
          <w:numId w:val="13"/>
        </w:numPr>
        <w:rPr>
          <w:rFonts w:cs="Arial"/>
          <w:bCs/>
          <w:szCs w:val="24"/>
        </w:rPr>
      </w:pPr>
      <w:r w:rsidRPr="00CF6A37">
        <w:rPr>
          <w:rFonts w:cs="Arial"/>
          <w:bCs/>
          <w:szCs w:val="24"/>
        </w:rPr>
        <w:t xml:space="preserve">Extend existing contracts – this approach would be </w:t>
      </w:r>
      <w:r>
        <w:rPr>
          <w:rFonts w:cs="Arial"/>
          <w:bCs/>
          <w:szCs w:val="24"/>
        </w:rPr>
        <w:t>i</w:t>
      </w:r>
      <w:r w:rsidRPr="00CF6A37">
        <w:rPr>
          <w:rFonts w:cs="Arial"/>
          <w:bCs/>
          <w:szCs w:val="24"/>
        </w:rPr>
        <w:t xml:space="preserve">n breach of </w:t>
      </w:r>
      <w:r w:rsidR="00794AE2">
        <w:rPr>
          <w:rFonts w:cs="Arial"/>
          <w:bCs/>
          <w:szCs w:val="24"/>
        </w:rPr>
        <w:t>public</w:t>
      </w:r>
      <w:r w:rsidRPr="00CF6A37">
        <w:rPr>
          <w:rFonts w:cs="Arial"/>
          <w:bCs/>
          <w:szCs w:val="24"/>
        </w:rPr>
        <w:t xml:space="preserve"> procurement rules.</w:t>
      </w:r>
    </w:p>
    <w:p w14:paraId="25BCE10F" w14:textId="54014399" w:rsidR="00F32736" w:rsidRDefault="00F32736" w:rsidP="00286609">
      <w:pPr>
        <w:pStyle w:val="Heading3"/>
        <w:spacing w:before="240"/>
        <w:jc w:val="left"/>
      </w:pPr>
      <w:r>
        <w:t xml:space="preserve">Preferred Option  </w:t>
      </w:r>
    </w:p>
    <w:p w14:paraId="5A12BE16" w14:textId="77777777" w:rsidR="00F32736" w:rsidRDefault="00F32736" w:rsidP="00F32736">
      <w:pPr>
        <w:rPr>
          <w:b/>
          <w:color w:val="FF0000"/>
        </w:rPr>
      </w:pPr>
    </w:p>
    <w:p w14:paraId="7AD074E4" w14:textId="7954D867" w:rsidR="00286609" w:rsidRDefault="00286609" w:rsidP="00CF6A37">
      <w:pPr>
        <w:pStyle w:val="ListParagraph"/>
        <w:numPr>
          <w:ilvl w:val="0"/>
          <w:numId w:val="11"/>
        </w:numPr>
        <w:rPr>
          <w:bCs/>
        </w:rPr>
      </w:pPr>
      <w:r>
        <w:rPr>
          <w:bCs/>
        </w:rPr>
        <w:t>To carry out procurements for the two contracts using the National LGPS frameworks, which have been developed using a process which is fully compliant with the Public Contracts Regulations 2015.</w:t>
      </w:r>
    </w:p>
    <w:p w14:paraId="25649CE6" w14:textId="77777777" w:rsidR="00286609" w:rsidRDefault="00286609" w:rsidP="00286609">
      <w:pPr>
        <w:rPr>
          <w:b/>
        </w:rPr>
      </w:pPr>
    </w:p>
    <w:p w14:paraId="1FE3E92A" w14:textId="77777777" w:rsidR="00286609" w:rsidRPr="00804CC3" w:rsidRDefault="00286609" w:rsidP="00286609">
      <w:pPr>
        <w:rPr>
          <w:b/>
        </w:rPr>
      </w:pPr>
      <w:r>
        <w:rPr>
          <w:b/>
        </w:rPr>
        <w:t>Background</w:t>
      </w:r>
    </w:p>
    <w:p w14:paraId="47937A93" w14:textId="7FD228AC" w:rsidR="00286609" w:rsidRPr="00286609" w:rsidRDefault="00286609" w:rsidP="00286609">
      <w:pPr>
        <w:rPr>
          <w:bCs/>
        </w:rPr>
      </w:pPr>
    </w:p>
    <w:p w14:paraId="5D28485E" w14:textId="7A738F5A" w:rsidR="00804CC3" w:rsidRDefault="001009B3" w:rsidP="00CF6A37">
      <w:pPr>
        <w:pStyle w:val="ListParagraph"/>
        <w:numPr>
          <w:ilvl w:val="0"/>
          <w:numId w:val="11"/>
        </w:numPr>
        <w:rPr>
          <w:bCs/>
        </w:rPr>
      </w:pPr>
      <w:r>
        <w:rPr>
          <w:bCs/>
        </w:rPr>
        <w:t>The Council is the LGPS Administering Authority for the Harrow Pension Fund. In this capacity, t</w:t>
      </w:r>
      <w:r w:rsidR="00804CC3">
        <w:rPr>
          <w:bCs/>
        </w:rPr>
        <w:t>o meet the requirements of the L</w:t>
      </w:r>
      <w:r>
        <w:rPr>
          <w:bCs/>
        </w:rPr>
        <w:t xml:space="preserve">GPS Regulations 2013 and the LGPS (Management and Investment of Funds) Regulations 2016, it must have in place contracts for the provision of Actuarial Services and for Investment Consultancy Advice. </w:t>
      </w:r>
    </w:p>
    <w:p w14:paraId="700CBB92" w14:textId="77777777" w:rsidR="00804CC3" w:rsidRPr="00804CC3" w:rsidRDefault="00804CC3" w:rsidP="00804CC3">
      <w:pPr>
        <w:pStyle w:val="ListParagraph"/>
        <w:rPr>
          <w:bCs/>
        </w:rPr>
      </w:pPr>
    </w:p>
    <w:p w14:paraId="6C36F691" w14:textId="49163729" w:rsidR="00804CC3" w:rsidRDefault="001009B3" w:rsidP="00CF6A37">
      <w:pPr>
        <w:pStyle w:val="ListParagraph"/>
        <w:numPr>
          <w:ilvl w:val="0"/>
          <w:numId w:val="11"/>
        </w:numPr>
        <w:rPr>
          <w:bCs/>
        </w:rPr>
      </w:pPr>
      <w:r>
        <w:rPr>
          <w:bCs/>
        </w:rPr>
        <w:t xml:space="preserve">The current contract for Actuarial Services expires in September 2023, and the contract for Investment Consultancy Advice expires in January 2024, hence it is necessary to procure new contracts to ensure continuity of service. </w:t>
      </w:r>
    </w:p>
    <w:p w14:paraId="17000538" w14:textId="77777777" w:rsidR="001009B3" w:rsidRPr="001009B3" w:rsidRDefault="001009B3" w:rsidP="001009B3">
      <w:pPr>
        <w:pStyle w:val="ListParagraph"/>
        <w:rPr>
          <w:bCs/>
        </w:rPr>
      </w:pPr>
    </w:p>
    <w:p w14:paraId="744F0858" w14:textId="46E37A38" w:rsidR="001009B3" w:rsidRDefault="001009B3" w:rsidP="00CF6A37">
      <w:pPr>
        <w:pStyle w:val="ListParagraph"/>
        <w:numPr>
          <w:ilvl w:val="0"/>
          <w:numId w:val="11"/>
        </w:numPr>
        <w:rPr>
          <w:bCs/>
        </w:rPr>
      </w:pPr>
      <w:r>
        <w:rPr>
          <w:bCs/>
        </w:rPr>
        <w:t xml:space="preserve">A report to the Pension Fund Committee on 29 March </w:t>
      </w:r>
      <w:r w:rsidRPr="00F17B02">
        <w:rPr>
          <w:bCs/>
        </w:rPr>
        <w:t>20</w:t>
      </w:r>
      <w:r w:rsidR="00664DB1" w:rsidRPr="00F17B02">
        <w:rPr>
          <w:bCs/>
        </w:rPr>
        <w:t>2</w:t>
      </w:r>
      <w:r w:rsidRPr="00F17B02">
        <w:rPr>
          <w:bCs/>
        </w:rPr>
        <w:t>3</w:t>
      </w:r>
      <w:r>
        <w:rPr>
          <w:bCs/>
        </w:rPr>
        <w:t xml:space="preserve"> sets out the background in more detail – this is attached at Appendix 1.</w:t>
      </w:r>
    </w:p>
    <w:p w14:paraId="017EE824" w14:textId="5A50548D" w:rsidR="00804CC3" w:rsidRDefault="00804CC3" w:rsidP="00C96050">
      <w:pPr>
        <w:rPr>
          <w:bCs/>
        </w:rPr>
      </w:pPr>
    </w:p>
    <w:p w14:paraId="56C88A86" w14:textId="7EA3DDC4" w:rsidR="00C96050" w:rsidRPr="00C96050" w:rsidRDefault="00C96050" w:rsidP="00C96050">
      <w:pPr>
        <w:rPr>
          <w:b/>
        </w:rPr>
      </w:pPr>
      <w:r>
        <w:rPr>
          <w:b/>
        </w:rPr>
        <w:t>Current  Situation</w:t>
      </w:r>
    </w:p>
    <w:p w14:paraId="041469B6" w14:textId="77777777" w:rsidR="00C96050" w:rsidRPr="00C96050" w:rsidRDefault="00C96050" w:rsidP="00C96050">
      <w:pPr>
        <w:rPr>
          <w:bCs/>
        </w:rPr>
      </w:pPr>
    </w:p>
    <w:p w14:paraId="4562728D" w14:textId="57D5B696" w:rsidR="00954E25" w:rsidRPr="00954E25" w:rsidRDefault="00954E25" w:rsidP="00FA1750">
      <w:pPr>
        <w:pStyle w:val="ListParagraph"/>
        <w:numPr>
          <w:ilvl w:val="0"/>
          <w:numId w:val="11"/>
        </w:numPr>
        <w:rPr>
          <w:bCs/>
        </w:rPr>
      </w:pPr>
      <w:r>
        <w:t xml:space="preserve">The administering authorities for the 89 LGPS Funds in England all require a range of specialist services to carry out their statutory functions and meet their responsibilities as set out in the </w:t>
      </w:r>
      <w:r w:rsidR="000F5304">
        <w:t xml:space="preserve">LGPS </w:t>
      </w:r>
      <w:r>
        <w:t>Regulations 2013 and the LGPS (Management and Investment of Funds) Regulations 2016.</w:t>
      </w:r>
    </w:p>
    <w:p w14:paraId="3D78F331" w14:textId="77777777" w:rsidR="00954E25" w:rsidRPr="00954E25" w:rsidRDefault="00954E25" w:rsidP="00954E25">
      <w:pPr>
        <w:pStyle w:val="ListParagraph"/>
        <w:rPr>
          <w:bCs/>
        </w:rPr>
      </w:pPr>
    </w:p>
    <w:p w14:paraId="13BA7792" w14:textId="77777777" w:rsidR="00AD0A3F" w:rsidRPr="00AD0A3F" w:rsidRDefault="00954E25" w:rsidP="00FA1750">
      <w:pPr>
        <w:pStyle w:val="ListParagraph"/>
        <w:numPr>
          <w:ilvl w:val="0"/>
          <w:numId w:val="11"/>
        </w:numPr>
        <w:rPr>
          <w:bCs/>
        </w:rPr>
      </w:pPr>
      <w:r>
        <w:t xml:space="preserve">To simplify </w:t>
      </w:r>
      <w:r w:rsidR="00286609">
        <w:t>the procurement process for individual administering authorities, a group of LGPS administering authorities led by Norfolk County Council</w:t>
      </w:r>
      <w:r w:rsidR="001009B3">
        <w:t xml:space="preserve"> have developed procurement frameworks covering the various services which all LGPS Funds require to </w:t>
      </w:r>
      <w:r w:rsidR="00286609">
        <w:t xml:space="preserve">fulfil </w:t>
      </w:r>
      <w:r w:rsidR="001009B3">
        <w:t xml:space="preserve">their </w:t>
      </w:r>
      <w:r w:rsidR="00286609">
        <w:t xml:space="preserve">statutory </w:t>
      </w:r>
      <w:r w:rsidR="001009B3">
        <w:t xml:space="preserve">responsibilities </w:t>
      </w:r>
      <w:r w:rsidR="00286609">
        <w:t>as</w:t>
      </w:r>
      <w:r w:rsidR="001009B3">
        <w:t xml:space="preserve"> administering authorities for the LGPS.</w:t>
      </w:r>
      <w:r w:rsidR="00286609">
        <w:t xml:space="preserve"> </w:t>
      </w:r>
    </w:p>
    <w:p w14:paraId="7389D6DB" w14:textId="77777777" w:rsidR="00AD0A3F" w:rsidRDefault="00AD0A3F" w:rsidP="00AD0A3F">
      <w:pPr>
        <w:pStyle w:val="ListParagraph"/>
      </w:pPr>
    </w:p>
    <w:p w14:paraId="685FAAC2" w14:textId="0F6EB4D9" w:rsidR="00286609" w:rsidRPr="000F5304" w:rsidRDefault="00286609" w:rsidP="00FA1750">
      <w:pPr>
        <w:pStyle w:val="ListParagraph"/>
        <w:numPr>
          <w:ilvl w:val="0"/>
          <w:numId w:val="11"/>
        </w:numPr>
        <w:rPr>
          <w:bCs/>
        </w:rPr>
      </w:pPr>
      <w:r>
        <w:t xml:space="preserve">The frameworks are fully compliant </w:t>
      </w:r>
      <w:r w:rsidR="000F5304">
        <w:t>with the Public Contracts Regulations 201</w:t>
      </w:r>
      <w:r w:rsidR="00B95A51">
        <w:t>5</w:t>
      </w:r>
      <w:r w:rsidR="000F5304">
        <w:t xml:space="preserve">. In setting up the frameworks, a standard specification was developed and all interested providers were invited to tender and meet rigorous quality thresholds – hence only those providers who are capable of meeting these minimum quality standards </w:t>
      </w:r>
      <w:r w:rsidR="000F5304">
        <w:lastRenderedPageBreak/>
        <w:t xml:space="preserve">are listed on the framework. </w:t>
      </w:r>
      <w:r w:rsidR="00AD0A3F">
        <w:t>This means that for Harrow the procurement process is simplified and more efficient, enabling the tender process to focus on identifying the provider which is most suitable to meet Harrow’s requirements.</w:t>
      </w:r>
    </w:p>
    <w:p w14:paraId="44ADC349" w14:textId="77777777" w:rsidR="000F5304" w:rsidRPr="000F5304" w:rsidRDefault="000F5304" w:rsidP="000F5304">
      <w:pPr>
        <w:pStyle w:val="ListParagraph"/>
        <w:rPr>
          <w:bCs/>
        </w:rPr>
      </w:pPr>
    </w:p>
    <w:p w14:paraId="33B86479" w14:textId="77777777" w:rsidR="000F5304" w:rsidRPr="000F5304" w:rsidRDefault="000F5304" w:rsidP="002B05E6">
      <w:pPr>
        <w:pStyle w:val="ListParagraph"/>
        <w:numPr>
          <w:ilvl w:val="0"/>
          <w:numId w:val="11"/>
        </w:numPr>
        <w:rPr>
          <w:bCs/>
        </w:rPr>
      </w:pPr>
      <w:r>
        <w:rPr>
          <w:bCs/>
        </w:rPr>
        <w:t>H</w:t>
      </w:r>
      <w:r w:rsidR="001009B3">
        <w:t>arrow has previously used the</w:t>
      </w:r>
      <w:r>
        <w:t xml:space="preserve"> LGPS frameworks to award </w:t>
      </w:r>
      <w:r w:rsidR="00C96050">
        <w:t xml:space="preserve">various Pension Fund contracts, including the current contracts for Actuarial Advice and Investment Consultancy Services. </w:t>
      </w:r>
      <w:r>
        <w:t xml:space="preserve">Both frameworks have been updated since Harrow last tendered, which means that they remain up to date in regard to current best practice in the LGPS. </w:t>
      </w:r>
    </w:p>
    <w:p w14:paraId="43F33F76" w14:textId="77777777" w:rsidR="000F5304" w:rsidRDefault="000F5304" w:rsidP="000F5304">
      <w:pPr>
        <w:pStyle w:val="ListParagraph"/>
      </w:pPr>
    </w:p>
    <w:p w14:paraId="62CCA243" w14:textId="3D63E783" w:rsidR="00AD0A3F" w:rsidRPr="00AD0A3F" w:rsidRDefault="000F5304" w:rsidP="00AD0A3F">
      <w:pPr>
        <w:pStyle w:val="ListParagraph"/>
        <w:numPr>
          <w:ilvl w:val="0"/>
          <w:numId w:val="11"/>
        </w:numPr>
        <w:rPr>
          <w:bCs/>
        </w:rPr>
      </w:pPr>
      <w:r>
        <w:t xml:space="preserve">In each case, direct award is not possible, hence Harrow will need to conduct a “mini tender” seeking bids from the firms listed on the relevant framework. </w:t>
      </w:r>
    </w:p>
    <w:p w14:paraId="5651C949" w14:textId="5D90238F" w:rsidR="00C96050" w:rsidRDefault="00C96050" w:rsidP="001D0AFD">
      <w:pPr>
        <w:rPr>
          <w:bCs/>
        </w:rPr>
      </w:pPr>
    </w:p>
    <w:p w14:paraId="7DB0FA24" w14:textId="251CA108" w:rsidR="001D0AFD" w:rsidRPr="0082540D" w:rsidRDefault="0082540D" w:rsidP="0082540D">
      <w:pPr>
        <w:ind w:firstLine="720"/>
        <w:rPr>
          <w:b/>
          <w:strike/>
        </w:rPr>
      </w:pPr>
      <w:r w:rsidRPr="00A443C8">
        <w:rPr>
          <w:b/>
        </w:rPr>
        <w:t>Contract</w:t>
      </w:r>
      <w:r w:rsidRPr="0082540D">
        <w:rPr>
          <w:b/>
          <w:color w:val="FF0000"/>
        </w:rPr>
        <w:t xml:space="preserve"> </w:t>
      </w:r>
      <w:r>
        <w:rPr>
          <w:b/>
        </w:rPr>
        <w:t xml:space="preserve">One: </w:t>
      </w:r>
      <w:r w:rsidR="001D0AFD" w:rsidRPr="001D0AFD">
        <w:rPr>
          <w:b/>
        </w:rPr>
        <w:t xml:space="preserve">Actuarial Advice </w:t>
      </w:r>
      <w:r w:rsidR="00BF52C7">
        <w:rPr>
          <w:b/>
        </w:rPr>
        <w:t>Services</w:t>
      </w:r>
      <w:r w:rsidR="001D0AFD" w:rsidRPr="0082540D">
        <w:rPr>
          <w:b/>
          <w:strike/>
        </w:rPr>
        <w:t xml:space="preserve"> </w:t>
      </w:r>
    </w:p>
    <w:p w14:paraId="267C3054" w14:textId="77777777" w:rsidR="001D0AFD" w:rsidRPr="0082540D" w:rsidRDefault="001D0AFD" w:rsidP="001D0AFD">
      <w:pPr>
        <w:rPr>
          <w:bCs/>
          <w:strike/>
        </w:rPr>
      </w:pPr>
    </w:p>
    <w:p w14:paraId="5C274CF1" w14:textId="6F053C2E" w:rsidR="00C96050" w:rsidRPr="00C96050" w:rsidRDefault="00C96050" w:rsidP="00FA1750">
      <w:pPr>
        <w:pStyle w:val="ListParagraph"/>
        <w:numPr>
          <w:ilvl w:val="0"/>
          <w:numId w:val="11"/>
        </w:numPr>
        <w:rPr>
          <w:bCs/>
        </w:rPr>
      </w:pPr>
      <w:r>
        <w:rPr>
          <w:bCs/>
        </w:rPr>
        <w:t>The Pension Fund is required to have a full valuation of its assets and liabilities every three years. This work is carried out by the actuary, and the process, which includes setting employer contribution rates for all of the L</w:t>
      </w:r>
      <w:r w:rsidR="00020404">
        <w:rPr>
          <w:bCs/>
        </w:rPr>
        <w:t>ondon Borough of Harrow</w:t>
      </w:r>
      <w:r>
        <w:rPr>
          <w:bCs/>
        </w:rPr>
        <w:t xml:space="preserve"> Pension Fund’s employers (there are more than 40 of these) and takes a year from the nominal valuation date to complete (</w:t>
      </w:r>
      <w:r w:rsidR="007E3CB4">
        <w:rPr>
          <w:bCs/>
        </w:rPr>
        <w:t>e.g.,</w:t>
      </w:r>
      <w:r>
        <w:rPr>
          <w:bCs/>
        </w:rPr>
        <w:t xml:space="preserve"> the most recent of these, as at 31 March 2022, was completed in March 2023).  </w:t>
      </w:r>
      <w:r w:rsidR="001D0AFD">
        <w:rPr>
          <w:bCs/>
        </w:rPr>
        <w:t xml:space="preserve">Therefore, actuarial contracts would normally be awarded for a multiple of three years – to ensure that tendering processes are not being carried out alongside the triennial valuations (as this would create capacity issues for both LBH officers and the actuarial firms). </w:t>
      </w:r>
    </w:p>
    <w:p w14:paraId="01B7AAF8" w14:textId="77777777" w:rsidR="00C96050" w:rsidRPr="00C96050" w:rsidRDefault="00C96050" w:rsidP="00C96050">
      <w:pPr>
        <w:rPr>
          <w:bCs/>
        </w:rPr>
      </w:pPr>
    </w:p>
    <w:p w14:paraId="19B6C0AE" w14:textId="7F2A3994" w:rsidR="00804CC3" w:rsidRPr="001D0AFD" w:rsidRDefault="001D0AFD" w:rsidP="00CF6A37">
      <w:pPr>
        <w:pStyle w:val="ListParagraph"/>
        <w:numPr>
          <w:ilvl w:val="0"/>
          <w:numId w:val="11"/>
        </w:numPr>
        <w:rPr>
          <w:bCs/>
        </w:rPr>
      </w:pPr>
      <w:r>
        <w:rPr>
          <w:bCs/>
        </w:rPr>
        <w:t>I</w:t>
      </w:r>
      <w:r w:rsidR="005E39B0">
        <w:rPr>
          <w:bCs/>
        </w:rPr>
        <w:t xml:space="preserve">n the </w:t>
      </w:r>
      <w:r w:rsidR="00BB1D8A">
        <w:rPr>
          <w:bCs/>
        </w:rPr>
        <w:t xml:space="preserve">professional journals and </w:t>
      </w:r>
      <w:r w:rsidR="00EC23EB">
        <w:rPr>
          <w:bCs/>
        </w:rPr>
        <w:t xml:space="preserve">in </w:t>
      </w:r>
      <w:r w:rsidR="00BB1D8A">
        <w:rPr>
          <w:bCs/>
        </w:rPr>
        <w:t xml:space="preserve">LGPS </w:t>
      </w:r>
      <w:r w:rsidR="00EC23EB">
        <w:rPr>
          <w:bCs/>
        </w:rPr>
        <w:t xml:space="preserve">professional </w:t>
      </w:r>
      <w:r w:rsidR="006850F9">
        <w:rPr>
          <w:bCs/>
        </w:rPr>
        <w:t xml:space="preserve">networks in the UK it has been </w:t>
      </w:r>
      <w:r>
        <w:rPr>
          <w:bCs/>
        </w:rPr>
        <w:t xml:space="preserve">suggested </w:t>
      </w:r>
      <w:r w:rsidR="00EC23EB">
        <w:rPr>
          <w:bCs/>
        </w:rPr>
        <w:t xml:space="preserve">that </w:t>
      </w:r>
      <w:r>
        <w:rPr>
          <w:bCs/>
        </w:rPr>
        <w:t xml:space="preserve">Government may consider changing this actuarial cycle from 3 years to 4 years at some point, The framework for actuarial services </w:t>
      </w:r>
      <w:r>
        <w:t>provides for contracts of up to 10 years, with a latest expiry date of June 2035.</w:t>
      </w:r>
    </w:p>
    <w:p w14:paraId="3AFEF759" w14:textId="77777777" w:rsidR="001D0AFD" w:rsidRPr="001D0AFD" w:rsidRDefault="001D0AFD" w:rsidP="001D0AFD">
      <w:pPr>
        <w:pStyle w:val="ListParagraph"/>
        <w:rPr>
          <w:bCs/>
        </w:rPr>
      </w:pPr>
    </w:p>
    <w:p w14:paraId="2F99D14B" w14:textId="0A646D31" w:rsidR="001D0AFD" w:rsidRDefault="001D0AFD" w:rsidP="00CF6A37">
      <w:pPr>
        <w:pStyle w:val="ListParagraph"/>
        <w:numPr>
          <w:ilvl w:val="0"/>
          <w:numId w:val="11"/>
        </w:numPr>
        <w:rPr>
          <w:bCs/>
        </w:rPr>
      </w:pPr>
      <w:r>
        <w:rPr>
          <w:bCs/>
        </w:rPr>
        <w:t>Taking these factors into account, it is proposed that the contract for actuarial services be awarded for 6 years, with an option to extend by up to 4 years</w:t>
      </w:r>
      <w:r w:rsidR="008556F8" w:rsidRPr="008556F8">
        <w:rPr>
          <w:szCs w:val="24"/>
        </w:rPr>
        <w:t xml:space="preserve"> </w:t>
      </w:r>
      <w:r w:rsidR="008556F8">
        <w:rPr>
          <w:szCs w:val="24"/>
        </w:rPr>
        <w:t>(subject to satisfactory performance)</w:t>
      </w:r>
      <w:r>
        <w:rPr>
          <w:bCs/>
        </w:rPr>
        <w:t xml:space="preserve">. This will provide flexibility in ensuring that the next re-procurement can be carried out at the correct point in the valuation cycle, even if that is changed from 3 to 4 years.  </w:t>
      </w:r>
    </w:p>
    <w:p w14:paraId="4EA46A72" w14:textId="77777777" w:rsidR="001D0AFD" w:rsidRPr="001D0AFD" w:rsidRDefault="001D0AFD" w:rsidP="001D0AFD">
      <w:pPr>
        <w:pStyle w:val="ListParagraph"/>
        <w:rPr>
          <w:bCs/>
        </w:rPr>
      </w:pPr>
    </w:p>
    <w:p w14:paraId="17B67B49" w14:textId="3B9DB040" w:rsidR="001D0AFD" w:rsidRPr="001D0AFD" w:rsidRDefault="0082540D" w:rsidP="0082540D">
      <w:pPr>
        <w:ind w:firstLine="720"/>
        <w:rPr>
          <w:b/>
        </w:rPr>
      </w:pPr>
      <w:r w:rsidRPr="00EC23EB">
        <w:rPr>
          <w:b/>
        </w:rPr>
        <w:t>Contract Two:</w:t>
      </w:r>
      <w:r>
        <w:rPr>
          <w:b/>
        </w:rPr>
        <w:t xml:space="preserve"> </w:t>
      </w:r>
      <w:r w:rsidR="001D0AFD" w:rsidRPr="001D0AFD">
        <w:rPr>
          <w:b/>
        </w:rPr>
        <w:t xml:space="preserve">Investment Consultancy </w:t>
      </w:r>
      <w:r w:rsidR="001D0AFD">
        <w:rPr>
          <w:b/>
        </w:rPr>
        <w:t>S</w:t>
      </w:r>
      <w:r w:rsidR="001D0AFD" w:rsidRPr="001D0AFD">
        <w:rPr>
          <w:b/>
        </w:rPr>
        <w:t>ervices</w:t>
      </w:r>
      <w:r w:rsidR="00436DA6">
        <w:rPr>
          <w:b/>
        </w:rPr>
        <w:t xml:space="preserve"> </w:t>
      </w:r>
    </w:p>
    <w:p w14:paraId="7396FE94" w14:textId="77777777" w:rsidR="001D0AFD" w:rsidRPr="001D0AFD" w:rsidRDefault="001D0AFD" w:rsidP="001D0AFD">
      <w:pPr>
        <w:pStyle w:val="ListParagraph"/>
        <w:rPr>
          <w:b/>
        </w:rPr>
      </w:pPr>
    </w:p>
    <w:p w14:paraId="786C653F" w14:textId="5AB0B06B" w:rsidR="001D0AFD" w:rsidRPr="00E94FB8" w:rsidRDefault="001D0AFD" w:rsidP="00E94FB8">
      <w:pPr>
        <w:pStyle w:val="ListParagraph"/>
        <w:numPr>
          <w:ilvl w:val="0"/>
          <w:numId w:val="11"/>
        </w:numPr>
        <w:rPr>
          <w:bCs/>
        </w:rPr>
      </w:pPr>
      <w:r w:rsidRPr="00E94FB8">
        <w:rPr>
          <w:szCs w:val="24"/>
        </w:rPr>
        <w:t xml:space="preserve">The contract covers matters relating to the Fund’s Investment strategy, including advising on asset allocation, investment risks, manager monitoring and selection, and provision of information for investment reporting for quarterly Committee meetings and the Fund’s annual report. </w:t>
      </w:r>
    </w:p>
    <w:p w14:paraId="71751712" w14:textId="77777777" w:rsidR="001D0AFD" w:rsidRDefault="001D0AFD" w:rsidP="001D0AFD">
      <w:pPr>
        <w:pStyle w:val="ListParagraph"/>
        <w:rPr>
          <w:szCs w:val="24"/>
        </w:rPr>
      </w:pPr>
    </w:p>
    <w:p w14:paraId="3403110A" w14:textId="343F9875" w:rsidR="001D0AFD" w:rsidRDefault="00FE43A4" w:rsidP="001D0AFD">
      <w:pPr>
        <w:numPr>
          <w:ilvl w:val="0"/>
          <w:numId w:val="11"/>
        </w:numPr>
        <w:jc w:val="both"/>
        <w:rPr>
          <w:szCs w:val="24"/>
        </w:rPr>
      </w:pPr>
      <w:r>
        <w:rPr>
          <w:szCs w:val="24"/>
        </w:rPr>
        <w:t xml:space="preserve"> Although it is considered best practice for each LGPS fund to carry out a review of its investment strategy immediately after the triennial </w:t>
      </w:r>
      <w:r>
        <w:rPr>
          <w:szCs w:val="24"/>
        </w:rPr>
        <w:lastRenderedPageBreak/>
        <w:t xml:space="preserve">valuation results have been finalised, this actuarial cycle is not a critical factor in the timing of the retendering process </w:t>
      </w:r>
      <w:r w:rsidR="00E57761">
        <w:rPr>
          <w:szCs w:val="24"/>
        </w:rPr>
        <w:t xml:space="preserve">for </w:t>
      </w:r>
      <w:r>
        <w:rPr>
          <w:szCs w:val="24"/>
        </w:rPr>
        <w:t>this contract</w:t>
      </w:r>
      <w:r w:rsidR="00E57761">
        <w:rPr>
          <w:szCs w:val="24"/>
        </w:rPr>
        <w:t xml:space="preserve">. </w:t>
      </w:r>
      <w:r w:rsidR="001D0AFD">
        <w:rPr>
          <w:szCs w:val="24"/>
        </w:rPr>
        <w:t xml:space="preserve">However, </w:t>
      </w:r>
      <w:r w:rsidR="00E57761">
        <w:rPr>
          <w:szCs w:val="24"/>
        </w:rPr>
        <w:t xml:space="preserve">to avoid reprocuring both contracts simultaneously, </w:t>
      </w:r>
      <w:r w:rsidR="001D0AFD">
        <w:rPr>
          <w:szCs w:val="24"/>
        </w:rPr>
        <w:t>it would be preferable if this contract did not expire at a similar time to the actuarial contract in future.</w:t>
      </w:r>
    </w:p>
    <w:p w14:paraId="74B17E14" w14:textId="77777777" w:rsidR="001D0AFD" w:rsidRDefault="001D0AFD" w:rsidP="001D0AFD">
      <w:pPr>
        <w:pStyle w:val="ListParagraph"/>
        <w:rPr>
          <w:szCs w:val="24"/>
        </w:rPr>
      </w:pPr>
    </w:p>
    <w:p w14:paraId="583EB01D" w14:textId="627082BB" w:rsidR="001D0AFD" w:rsidRDefault="001D0AFD" w:rsidP="001D0AFD">
      <w:pPr>
        <w:numPr>
          <w:ilvl w:val="0"/>
          <w:numId w:val="11"/>
        </w:numPr>
        <w:jc w:val="both"/>
        <w:rPr>
          <w:szCs w:val="24"/>
        </w:rPr>
      </w:pPr>
      <w:r>
        <w:rPr>
          <w:szCs w:val="24"/>
        </w:rPr>
        <w:t xml:space="preserve">The framework provides for contracts </w:t>
      </w:r>
      <w:r w:rsidR="008556F8">
        <w:rPr>
          <w:szCs w:val="24"/>
        </w:rPr>
        <w:t>of</w:t>
      </w:r>
      <w:r>
        <w:rPr>
          <w:szCs w:val="24"/>
        </w:rPr>
        <w:t xml:space="preserve"> up to 7 years, with a latest contract expiry date of 31 October 2033.  </w:t>
      </w:r>
    </w:p>
    <w:p w14:paraId="77F72345" w14:textId="77777777" w:rsidR="001D0AFD" w:rsidRDefault="001D0AFD" w:rsidP="001D0AFD">
      <w:pPr>
        <w:pStyle w:val="ListParagraph"/>
        <w:rPr>
          <w:szCs w:val="24"/>
        </w:rPr>
      </w:pPr>
    </w:p>
    <w:p w14:paraId="5F110CFE" w14:textId="44FD456C" w:rsidR="001D0AFD" w:rsidRDefault="001D0AFD" w:rsidP="001D0AFD">
      <w:pPr>
        <w:numPr>
          <w:ilvl w:val="0"/>
          <w:numId w:val="11"/>
        </w:numPr>
        <w:jc w:val="both"/>
        <w:rPr>
          <w:szCs w:val="24"/>
        </w:rPr>
      </w:pPr>
      <w:r w:rsidRPr="00650EF7">
        <w:rPr>
          <w:szCs w:val="24"/>
        </w:rPr>
        <w:t xml:space="preserve">Therefore, </w:t>
      </w:r>
      <w:r>
        <w:rPr>
          <w:szCs w:val="24"/>
        </w:rPr>
        <w:t xml:space="preserve">taking account of the above, it is proposed that the new contract be awarded for a period of 4 years, with an option to extend for up to 3 years, </w:t>
      </w:r>
      <w:r w:rsidR="008556F8">
        <w:rPr>
          <w:szCs w:val="24"/>
        </w:rPr>
        <w:t>(</w:t>
      </w:r>
      <w:r>
        <w:rPr>
          <w:szCs w:val="24"/>
        </w:rPr>
        <w:t xml:space="preserve">subject to satisfactory performance). </w:t>
      </w:r>
    </w:p>
    <w:p w14:paraId="650624D9" w14:textId="77777777" w:rsidR="00081C4B" w:rsidRDefault="00081C4B" w:rsidP="00081C4B">
      <w:pPr>
        <w:pStyle w:val="ListParagraph"/>
        <w:rPr>
          <w:szCs w:val="24"/>
        </w:rPr>
      </w:pPr>
    </w:p>
    <w:p w14:paraId="5319A48A" w14:textId="39691E05" w:rsidR="00081C4B" w:rsidRDefault="00081C4B" w:rsidP="00081C4B">
      <w:pPr>
        <w:pStyle w:val="Heading2"/>
        <w:rPr>
          <w:rFonts w:ascii="Arial" w:hAnsi="Arial"/>
          <w:sz w:val="28"/>
          <w:szCs w:val="28"/>
        </w:rPr>
      </w:pPr>
      <w:r w:rsidRPr="00081C4B">
        <w:rPr>
          <w:rFonts w:ascii="Arial" w:hAnsi="Arial"/>
          <w:sz w:val="28"/>
          <w:szCs w:val="28"/>
        </w:rPr>
        <w:t>Implications of the Recommendation</w:t>
      </w:r>
    </w:p>
    <w:p w14:paraId="10B171DF" w14:textId="0B06D435" w:rsidR="00BA77F8" w:rsidRDefault="00BA77F8" w:rsidP="00BA77F8"/>
    <w:p w14:paraId="2007BEB0" w14:textId="2B8111B7" w:rsidR="00BA77F8" w:rsidRPr="00BA77F8" w:rsidRDefault="00BA77F8" w:rsidP="00BA77F8">
      <w:pPr>
        <w:rPr>
          <w:b/>
          <w:bCs/>
        </w:rPr>
      </w:pPr>
      <w:r w:rsidRPr="00BA77F8">
        <w:rPr>
          <w:b/>
          <w:bCs/>
        </w:rPr>
        <w:t>Costs</w:t>
      </w:r>
    </w:p>
    <w:p w14:paraId="13FA15DB" w14:textId="77777777" w:rsidR="00081C4B" w:rsidRDefault="00081C4B" w:rsidP="00081C4B">
      <w:pPr>
        <w:pStyle w:val="ListParagraph"/>
        <w:rPr>
          <w:szCs w:val="24"/>
        </w:rPr>
      </w:pPr>
    </w:p>
    <w:p w14:paraId="44D0A942" w14:textId="40A92087" w:rsidR="00081C4B" w:rsidRPr="00650EF7" w:rsidRDefault="00BA77F8" w:rsidP="001D0AFD">
      <w:pPr>
        <w:numPr>
          <w:ilvl w:val="0"/>
          <w:numId w:val="11"/>
        </w:numPr>
        <w:jc w:val="both"/>
        <w:rPr>
          <w:szCs w:val="24"/>
        </w:rPr>
      </w:pPr>
      <w:r>
        <w:rPr>
          <w:szCs w:val="24"/>
        </w:rPr>
        <w:t xml:space="preserve"> The costs of the proposed contract are set out in Appendix 2 (exempt) They will be fully met by the Pension Fund.</w:t>
      </w:r>
    </w:p>
    <w:p w14:paraId="2EC0B631" w14:textId="77777777" w:rsidR="001D0AFD" w:rsidRPr="00CF6A37" w:rsidRDefault="001D0AFD" w:rsidP="008556F8">
      <w:pPr>
        <w:pStyle w:val="ListParagraph"/>
        <w:rPr>
          <w:bCs/>
        </w:rPr>
      </w:pPr>
    </w:p>
    <w:p w14:paraId="211340B3" w14:textId="27065F77" w:rsidR="00333FAA" w:rsidRDefault="00333FAA" w:rsidP="0054590F">
      <w:pPr>
        <w:pStyle w:val="Heading4"/>
        <w:rPr>
          <w:szCs w:val="24"/>
        </w:rPr>
      </w:pPr>
      <w:r w:rsidRPr="009E1424">
        <w:rPr>
          <w:szCs w:val="24"/>
        </w:rPr>
        <w:t xml:space="preserve">Staffing/workforce </w:t>
      </w:r>
    </w:p>
    <w:p w14:paraId="3A89301F" w14:textId="77777777" w:rsidR="00BA77F8" w:rsidRPr="00BA77F8" w:rsidRDefault="00BA77F8" w:rsidP="00BA77F8"/>
    <w:p w14:paraId="3379887F" w14:textId="3DFE3C03" w:rsidR="009E1424" w:rsidRPr="009E1424" w:rsidRDefault="009E1424" w:rsidP="00BA77F8">
      <w:pPr>
        <w:pStyle w:val="ListParagraph"/>
        <w:numPr>
          <w:ilvl w:val="0"/>
          <w:numId w:val="11"/>
        </w:numPr>
      </w:pPr>
      <w:r>
        <w:t xml:space="preserve">There are no staffing / workforce implications of the proposed decision. </w:t>
      </w:r>
    </w:p>
    <w:p w14:paraId="1F35D8A9" w14:textId="6FC57B7F" w:rsidR="00BA77F8" w:rsidRPr="00F06E4E" w:rsidRDefault="00307F76" w:rsidP="00BA77F8">
      <w:pPr>
        <w:spacing w:before="240" w:after="240"/>
        <w:rPr>
          <w:b/>
          <w:szCs w:val="24"/>
        </w:rPr>
      </w:pPr>
      <w:r w:rsidRPr="00F06E4E">
        <w:rPr>
          <w:b/>
          <w:szCs w:val="24"/>
        </w:rPr>
        <w:t xml:space="preserve">Ward Councillors’ comments </w:t>
      </w:r>
    </w:p>
    <w:p w14:paraId="46F07B30" w14:textId="0EFDBC2E" w:rsidR="00955421" w:rsidRPr="00BA77F8" w:rsidRDefault="00C96050" w:rsidP="00BA77F8">
      <w:pPr>
        <w:pStyle w:val="ListParagraph"/>
        <w:numPr>
          <w:ilvl w:val="0"/>
          <w:numId w:val="11"/>
        </w:numPr>
        <w:rPr>
          <w:bCs/>
        </w:rPr>
      </w:pPr>
      <w:r w:rsidRPr="00BA77F8">
        <w:rPr>
          <w:bCs/>
        </w:rPr>
        <w:t>Not applicable</w:t>
      </w:r>
    </w:p>
    <w:p w14:paraId="61531973" w14:textId="77777777" w:rsidR="00C96050" w:rsidRDefault="00C96050" w:rsidP="0054590F">
      <w:pPr>
        <w:pStyle w:val="Heading4"/>
        <w:tabs>
          <w:tab w:val="left" w:pos="3600"/>
        </w:tabs>
        <w:rPr>
          <w:color w:val="0000FF"/>
          <w:szCs w:val="24"/>
        </w:rPr>
      </w:pPr>
    </w:p>
    <w:p w14:paraId="12B2B7E2" w14:textId="76DB9795" w:rsidR="00333FAA" w:rsidRPr="00BA77F8" w:rsidRDefault="00333FAA" w:rsidP="00BA77F8">
      <w:pPr>
        <w:pStyle w:val="Heading4"/>
        <w:tabs>
          <w:tab w:val="left" w:pos="3600"/>
        </w:tabs>
        <w:spacing w:after="240"/>
        <w:rPr>
          <w:szCs w:val="24"/>
        </w:rPr>
      </w:pPr>
      <w:r w:rsidRPr="00C96050">
        <w:rPr>
          <w:szCs w:val="24"/>
        </w:rPr>
        <w:t>Performance Issues</w:t>
      </w:r>
    </w:p>
    <w:p w14:paraId="69102A06" w14:textId="3C7C9D19" w:rsidR="00330832" w:rsidRPr="00BA77F8" w:rsidRDefault="00C96050" w:rsidP="00BA77F8">
      <w:pPr>
        <w:pStyle w:val="paragraph"/>
        <w:numPr>
          <w:ilvl w:val="0"/>
          <w:numId w:val="11"/>
        </w:numPr>
        <w:spacing w:before="0" w:beforeAutospacing="0" w:after="0" w:afterAutospacing="0"/>
        <w:textAlignment w:val="baseline"/>
        <w:rPr>
          <w:rFonts w:ascii="Segoe UI" w:hAnsi="Segoe UI" w:cs="Segoe UI"/>
        </w:rPr>
      </w:pPr>
      <w:r w:rsidRPr="00BA77F8">
        <w:rPr>
          <w:rStyle w:val="eop"/>
          <w:rFonts w:ascii="Arial" w:hAnsi="Arial" w:cs="Arial"/>
        </w:rPr>
        <w:t xml:space="preserve">The current providers for Actuarial Services </w:t>
      </w:r>
      <w:r w:rsidR="00797EB3" w:rsidRPr="00BA77F8">
        <w:rPr>
          <w:rStyle w:val="eop"/>
          <w:rFonts w:ascii="Arial" w:hAnsi="Arial" w:cs="Arial"/>
        </w:rPr>
        <w:t>(</w:t>
      </w:r>
      <w:r w:rsidRPr="00BA77F8">
        <w:rPr>
          <w:rStyle w:val="eop"/>
          <w:rFonts w:ascii="Arial" w:hAnsi="Arial" w:cs="Arial"/>
        </w:rPr>
        <w:t xml:space="preserve">Hymans Robertson LLP) </w:t>
      </w:r>
      <w:r w:rsidR="00797EB3" w:rsidRPr="00BA77F8">
        <w:rPr>
          <w:rStyle w:val="eop"/>
          <w:rFonts w:ascii="Arial" w:hAnsi="Arial" w:cs="Arial"/>
        </w:rPr>
        <w:t>and Investment Consultancy Advice Services (Aon) are providing a good service. There have been no performance issues with the current contracts and both the Pension Fund Committee and officers have been satisfied with the level of service received.</w:t>
      </w:r>
    </w:p>
    <w:p w14:paraId="0CDAFD1F" w14:textId="77777777" w:rsidR="00714BEE" w:rsidRPr="00BA77F8" w:rsidRDefault="00714BEE" w:rsidP="001C7E35">
      <w:pPr>
        <w:tabs>
          <w:tab w:val="left" w:pos="7245"/>
        </w:tabs>
        <w:rPr>
          <w:i/>
          <w:color w:val="0000FF"/>
          <w:szCs w:val="24"/>
        </w:rPr>
      </w:pPr>
    </w:p>
    <w:p w14:paraId="482D5093" w14:textId="77777777" w:rsidR="00333FAA" w:rsidRPr="00BA77F8" w:rsidRDefault="00333FAA" w:rsidP="00BA77F8">
      <w:pPr>
        <w:pStyle w:val="Heading4"/>
        <w:spacing w:after="240"/>
        <w:rPr>
          <w:szCs w:val="24"/>
        </w:rPr>
      </w:pPr>
      <w:r w:rsidRPr="009E1424">
        <w:rPr>
          <w:szCs w:val="24"/>
        </w:rPr>
        <w:t>Environmental Implications</w:t>
      </w:r>
    </w:p>
    <w:p w14:paraId="29BC4FFE" w14:textId="3E8BC499" w:rsidR="00330832" w:rsidRPr="00BA77F8" w:rsidRDefault="009E1424" w:rsidP="00BA77F8">
      <w:pPr>
        <w:pStyle w:val="paragraph"/>
        <w:numPr>
          <w:ilvl w:val="0"/>
          <w:numId w:val="11"/>
        </w:numPr>
        <w:spacing w:before="0" w:beforeAutospacing="0" w:after="0" w:afterAutospacing="0"/>
        <w:textAlignment w:val="baseline"/>
        <w:rPr>
          <w:rFonts w:ascii="Segoe UI" w:hAnsi="Segoe UI" w:cs="Segoe UI"/>
        </w:rPr>
      </w:pPr>
      <w:r w:rsidRPr="00BA77F8">
        <w:rPr>
          <w:rStyle w:val="normaltextrun"/>
          <w:rFonts w:ascii="Arial" w:hAnsi="Arial" w:cs="Arial"/>
        </w:rPr>
        <w:t>There are no specific</w:t>
      </w:r>
      <w:r w:rsidR="00330832" w:rsidRPr="00BA77F8">
        <w:rPr>
          <w:rStyle w:val="normaltextrun"/>
          <w:rFonts w:ascii="Arial" w:hAnsi="Arial" w:cs="Arial"/>
        </w:rPr>
        <w:t> </w:t>
      </w:r>
      <w:r w:rsidRPr="00BA77F8">
        <w:rPr>
          <w:rStyle w:val="eop"/>
          <w:rFonts w:ascii="Arial" w:hAnsi="Arial" w:cs="Arial"/>
        </w:rPr>
        <w:t>environmental implications arising from the proposed decisions. In both contracts, but in particular the contract for Investment Consultancy Services contract, the chosen provider will be required to take account of current regulatory guidance and to give appropriate consideration to Environmental, Social and Governance (ESG) Issues and to the Harrow Pension fund’s Responsible Investment Policy.</w:t>
      </w:r>
    </w:p>
    <w:p w14:paraId="725E999E" w14:textId="5CB1BD69" w:rsidR="000929A6" w:rsidRDefault="000929A6" w:rsidP="001472A8">
      <w:pPr>
        <w:rPr>
          <w:iCs/>
        </w:rPr>
      </w:pPr>
    </w:p>
    <w:p w14:paraId="31409836" w14:textId="77777777" w:rsidR="002A3FEF" w:rsidRPr="00BA77F8" w:rsidRDefault="002A3FEF" w:rsidP="00BA77F8">
      <w:pPr>
        <w:pStyle w:val="Heading4"/>
        <w:spacing w:after="240"/>
        <w:rPr>
          <w:szCs w:val="24"/>
        </w:rPr>
      </w:pPr>
      <w:r w:rsidRPr="009E1424">
        <w:rPr>
          <w:szCs w:val="24"/>
        </w:rPr>
        <w:t>Dat</w:t>
      </w:r>
      <w:r w:rsidR="00DE72CF" w:rsidRPr="009E1424">
        <w:rPr>
          <w:szCs w:val="24"/>
        </w:rPr>
        <w:t>a</w:t>
      </w:r>
      <w:r w:rsidRPr="009E1424">
        <w:rPr>
          <w:szCs w:val="24"/>
        </w:rPr>
        <w:t xml:space="preserve"> Protection Implications</w:t>
      </w:r>
    </w:p>
    <w:p w14:paraId="5EB451EA" w14:textId="4B9AE22F" w:rsidR="00330832" w:rsidRPr="00BA77F8" w:rsidRDefault="009E1424" w:rsidP="00BA77F8">
      <w:pPr>
        <w:pStyle w:val="paragraph"/>
        <w:numPr>
          <w:ilvl w:val="0"/>
          <w:numId w:val="11"/>
        </w:numPr>
        <w:spacing w:before="0" w:beforeAutospacing="0" w:after="0" w:afterAutospacing="0"/>
        <w:textAlignment w:val="baseline"/>
        <w:rPr>
          <w:rFonts w:ascii="Segoe UI" w:hAnsi="Segoe UI" w:cs="Segoe UI"/>
        </w:rPr>
      </w:pPr>
      <w:r w:rsidRPr="00BA77F8">
        <w:rPr>
          <w:rStyle w:val="normaltextrun"/>
          <w:rFonts w:ascii="Arial" w:hAnsi="Arial" w:cs="Arial"/>
        </w:rPr>
        <w:t xml:space="preserve">The work required to value Pension Fund liabilities and to assess employer contribution rates requires the provider of actuarial service to have information in respect of individual scheme members. The current contract has appropriate arrangements for data transfer using </w:t>
      </w:r>
      <w:r w:rsidR="00910FD4" w:rsidRPr="00BA77F8">
        <w:rPr>
          <w:rStyle w:val="normaltextrun"/>
          <w:rFonts w:ascii="Arial" w:hAnsi="Arial" w:cs="Arial"/>
        </w:rPr>
        <w:t xml:space="preserve">a </w:t>
      </w:r>
      <w:r w:rsidRPr="00BA77F8">
        <w:rPr>
          <w:rStyle w:val="normaltextrun"/>
          <w:rFonts w:ascii="Arial" w:hAnsi="Arial" w:cs="Arial"/>
        </w:rPr>
        <w:t xml:space="preserve">secure </w:t>
      </w:r>
      <w:r w:rsidRPr="00BA77F8">
        <w:rPr>
          <w:rStyle w:val="normaltextrun"/>
          <w:rFonts w:ascii="Arial" w:hAnsi="Arial" w:cs="Arial"/>
        </w:rPr>
        <w:lastRenderedPageBreak/>
        <w:t>portal</w:t>
      </w:r>
      <w:r w:rsidR="00910FD4" w:rsidRPr="00BA77F8">
        <w:rPr>
          <w:rStyle w:val="normaltextrun"/>
          <w:rFonts w:ascii="Arial" w:hAnsi="Arial" w:cs="Arial"/>
        </w:rPr>
        <w:t xml:space="preserve">, and should a different provider be appointed, they will be required to have similar compliant arrangements in place (these are standard for provision of this service in the LGPS). </w:t>
      </w:r>
      <w:r w:rsidRPr="00BA77F8">
        <w:rPr>
          <w:rStyle w:val="normaltextrun"/>
          <w:rFonts w:ascii="Arial" w:hAnsi="Arial" w:cs="Arial"/>
        </w:rPr>
        <w:t xml:space="preserve"> </w:t>
      </w:r>
      <w:r w:rsidR="00330832" w:rsidRPr="00BA77F8">
        <w:rPr>
          <w:rStyle w:val="normaltextrun"/>
          <w:rFonts w:ascii="Arial" w:hAnsi="Arial" w:cs="Arial"/>
        </w:rPr>
        <w:t> </w:t>
      </w:r>
      <w:r w:rsidR="00330832" w:rsidRPr="00BA77F8">
        <w:rPr>
          <w:rStyle w:val="eop"/>
          <w:rFonts w:ascii="Arial" w:hAnsi="Arial" w:cs="Arial"/>
        </w:rPr>
        <w:t> </w:t>
      </w:r>
    </w:p>
    <w:p w14:paraId="75284416" w14:textId="1002A45A" w:rsidR="00A81E19" w:rsidRDefault="00A81E19" w:rsidP="00A1211C">
      <w:pPr>
        <w:pStyle w:val="Heading3"/>
        <w:spacing w:before="480" w:after="240"/>
      </w:pPr>
      <w:r>
        <w:t>Risk Management Implications</w:t>
      </w:r>
    </w:p>
    <w:p w14:paraId="2FFC64C8" w14:textId="66DEA70C" w:rsidR="00C53F1A" w:rsidRDefault="00C53F1A" w:rsidP="00910FD4">
      <w:pPr>
        <w:tabs>
          <w:tab w:val="left" w:pos="5610"/>
        </w:tabs>
        <w:ind w:right="81"/>
        <w:rPr>
          <w:rFonts w:cs="Arial"/>
          <w:szCs w:val="24"/>
          <w:lang w:val="en-US"/>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06BB6FED" w14:textId="77777777" w:rsidR="00910FD4" w:rsidRDefault="00910FD4" w:rsidP="00910FD4">
      <w:pPr>
        <w:tabs>
          <w:tab w:val="left" w:pos="5610"/>
        </w:tabs>
        <w:ind w:right="81"/>
        <w:rPr>
          <w:rFonts w:cs="Arial"/>
          <w:szCs w:val="24"/>
          <w:lang w:val="en-US" w:eastAsia="en-GB"/>
        </w:rPr>
      </w:pPr>
    </w:p>
    <w:p w14:paraId="72B374FF" w14:textId="3A0A285D" w:rsidR="00C53F1A" w:rsidRDefault="00C53F1A" w:rsidP="00C658B6">
      <w:pPr>
        <w:ind w:right="141"/>
      </w:pPr>
      <w:r>
        <w:rPr>
          <w:rFonts w:cs="Arial"/>
          <w:szCs w:val="24"/>
          <w:lang w:val="en-US" w:eastAsia="en-GB"/>
        </w:rPr>
        <w:t xml:space="preserve">Separate risk register in place? </w:t>
      </w:r>
      <w:r w:rsidR="00D86995">
        <w:rPr>
          <w:rFonts w:cs="Arial"/>
          <w:b/>
          <w:bCs/>
          <w:szCs w:val="24"/>
          <w:lang w:val="en-US" w:eastAsia="en-GB"/>
        </w:rPr>
        <w:t>No</w:t>
      </w:r>
      <w:r w:rsidR="00910FD4">
        <w:rPr>
          <w:rFonts w:cs="Arial"/>
          <w:b/>
          <w:bCs/>
          <w:szCs w:val="24"/>
          <w:lang w:val="en-US" w:eastAsia="en-GB"/>
        </w:rPr>
        <w:t xml:space="preserve"> </w:t>
      </w:r>
    </w:p>
    <w:p w14:paraId="1545B402" w14:textId="77777777" w:rsidR="00C658B6" w:rsidRDefault="00C658B6" w:rsidP="00105B8A">
      <w:pPr>
        <w:tabs>
          <w:tab w:val="left" w:pos="5610"/>
        </w:tabs>
        <w:ind w:right="81"/>
      </w:pPr>
    </w:p>
    <w:p w14:paraId="2E054B04" w14:textId="0F44FD5D" w:rsidR="00C53F1A" w:rsidRPr="004C5958" w:rsidRDefault="00C53F1A" w:rsidP="00105B8A">
      <w:pPr>
        <w:tabs>
          <w:tab w:val="left" w:pos="5610"/>
        </w:tabs>
        <w:ind w:right="81"/>
      </w:pPr>
      <w:r w:rsidRPr="004C5958">
        <w:t xml:space="preserve">The relevant risks contained in the register are summarised below. </w:t>
      </w:r>
      <w:r w:rsidR="00C658B6">
        <w:rPr>
          <w:rFonts w:cs="Arial"/>
          <w:b/>
          <w:bCs/>
          <w:szCs w:val="24"/>
          <w:lang w:val="en-US" w:eastAsia="en-GB"/>
        </w:rPr>
        <w:t xml:space="preserve">No </w:t>
      </w:r>
    </w:p>
    <w:p w14:paraId="45AEB19F" w14:textId="77777777" w:rsidR="00105B8A" w:rsidRPr="00910FD4" w:rsidRDefault="00105B8A" w:rsidP="00105B8A">
      <w:pPr>
        <w:rPr>
          <w:highlight w:val="yellow"/>
        </w:rPr>
      </w:pPr>
    </w:p>
    <w:p w14:paraId="68B1512C" w14:textId="2759935A" w:rsidR="00C53F1A" w:rsidRDefault="00C53F1A" w:rsidP="00105B8A">
      <w:r w:rsidRPr="00604F72">
        <w:t xml:space="preserve">The following key risks should be taken </w:t>
      </w:r>
      <w:r w:rsidR="00105B8A" w:rsidRPr="00604F72">
        <w:t>i</w:t>
      </w:r>
      <w:r w:rsidRPr="00604F72">
        <w:t>nto account when agreeing the recommendations in this report:</w:t>
      </w:r>
    </w:p>
    <w:p w14:paraId="5ABB5291" w14:textId="77777777" w:rsidR="007A30D3" w:rsidRDefault="007A30D3" w:rsidP="00105B8A"/>
    <w:tbl>
      <w:tblPr>
        <w:tblW w:w="8635" w:type="dxa"/>
        <w:tblCellMar>
          <w:left w:w="10" w:type="dxa"/>
          <w:right w:w="10" w:type="dxa"/>
        </w:tblCellMar>
        <w:tblLook w:val="04A0" w:firstRow="1" w:lastRow="0" w:firstColumn="1" w:lastColumn="0" w:noHBand="0" w:noVBand="1"/>
      </w:tblPr>
      <w:tblGrid>
        <w:gridCol w:w="3267"/>
        <w:gridCol w:w="3298"/>
        <w:gridCol w:w="2070"/>
      </w:tblGrid>
      <w:tr w:rsidR="00791F31" w14:paraId="46491124" w14:textId="77777777" w:rsidTr="003F54E4">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5C3CF" w14:textId="77777777" w:rsidR="00791F31" w:rsidRDefault="00791F31" w:rsidP="003F54E4">
            <w:pPr>
              <w:spacing w:line="244"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5A6AE" w14:textId="77777777" w:rsidR="00791F31" w:rsidRDefault="00791F31" w:rsidP="003F54E4">
            <w:pPr>
              <w:spacing w:line="244"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5829D0" w14:textId="77777777" w:rsidR="00791F31" w:rsidRDefault="00791F31" w:rsidP="003F54E4">
            <w:pPr>
              <w:spacing w:line="244" w:lineRule="auto"/>
              <w:ind w:left="171" w:right="141"/>
              <w:rPr>
                <w:rFonts w:cs="Arial"/>
                <w:b/>
                <w:bCs/>
                <w:szCs w:val="24"/>
                <w:lang w:val="en-US" w:eastAsia="en-GB"/>
              </w:rPr>
            </w:pPr>
            <w:r>
              <w:rPr>
                <w:rFonts w:cs="Arial"/>
                <w:b/>
                <w:bCs/>
                <w:szCs w:val="24"/>
                <w:lang w:val="en-US" w:eastAsia="en-GB"/>
              </w:rPr>
              <w:t>RAG Status</w:t>
            </w:r>
          </w:p>
        </w:tc>
      </w:tr>
      <w:tr w:rsidR="00791F31" w14:paraId="6363CF5F" w14:textId="77777777" w:rsidTr="00895524">
        <w:trPr>
          <w:trHeight w:val="1009"/>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603A" w14:textId="29BA70B5" w:rsidR="00791F31" w:rsidRPr="00791F31" w:rsidRDefault="00791F31" w:rsidP="003F54E4">
            <w:pPr>
              <w:rPr>
                <w:color w:val="FF0000"/>
              </w:rPr>
            </w:pPr>
            <w:r w:rsidRPr="00E57761">
              <w:t xml:space="preserve">If the procurement is not approved the Council will have insufficient advice and expertise </w:t>
            </w:r>
            <w:r w:rsidR="003A6772" w:rsidRPr="00E57761">
              <w:t xml:space="preserve">in place </w:t>
            </w:r>
            <w:r w:rsidRPr="00E57761">
              <w:t>to fully discharge its statutory responsibilities on the Pension Fund</w:t>
            </w:r>
            <w:r w:rsidR="00E65A5C" w:rsidRPr="00E57761">
              <w:t xml:space="preserve"> in 2024 </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7C37" w14:textId="44C4B648" w:rsidR="00791F31" w:rsidRDefault="00AD0A3F" w:rsidP="00791F31">
            <w:pPr>
              <w:pStyle w:val="ListParagraph"/>
              <w:numPr>
                <w:ilvl w:val="0"/>
                <w:numId w:val="19"/>
              </w:numPr>
              <w:suppressAutoHyphens/>
              <w:autoSpaceDN w:val="0"/>
              <w:spacing w:line="244" w:lineRule="auto"/>
              <w:ind w:left="171" w:right="141" w:hanging="171"/>
              <w:rPr>
                <w:szCs w:val="22"/>
                <w:lang w:val="en-US"/>
              </w:rPr>
            </w:pPr>
            <w:r>
              <w:rPr>
                <w:szCs w:val="22"/>
                <w:lang w:val="en-US"/>
              </w:rPr>
              <w:t>The report sets out the process by which  compliant procurements can be carried out and hence contracts put in place.</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5CBD4097" w14:textId="0FE02954" w:rsidR="00791F31" w:rsidRPr="00895524" w:rsidRDefault="00895524" w:rsidP="00895524">
            <w:pPr>
              <w:spacing w:line="244" w:lineRule="auto"/>
              <w:ind w:left="171" w:right="141"/>
              <w:jc w:val="center"/>
              <w:rPr>
                <w:rFonts w:cs="Arial"/>
                <w:b/>
                <w:bCs/>
                <w:szCs w:val="24"/>
                <w:lang w:val="en-US" w:eastAsia="en-GB"/>
              </w:rPr>
            </w:pPr>
            <w:r w:rsidRPr="00895524">
              <w:rPr>
                <w:rFonts w:cs="Arial"/>
                <w:b/>
                <w:bCs/>
                <w:szCs w:val="24"/>
                <w:lang w:val="en-US" w:eastAsia="en-GB"/>
              </w:rPr>
              <w:t>Green</w:t>
            </w:r>
          </w:p>
        </w:tc>
      </w:tr>
      <w:tr w:rsidR="00E57761" w14:paraId="4306A60C" w14:textId="77777777" w:rsidTr="00E57761">
        <w:trPr>
          <w:trHeight w:val="1009"/>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FB675" w14:textId="137D2616" w:rsidR="00E57761" w:rsidRPr="00E65A5C" w:rsidRDefault="00E57761" w:rsidP="00E57761">
            <w:pPr>
              <w:pStyle w:val="CommentText"/>
              <w:rPr>
                <w:color w:val="FF0000"/>
                <w:sz w:val="24"/>
                <w:szCs w:val="24"/>
              </w:rPr>
            </w:pPr>
            <w:r w:rsidRPr="00E57761">
              <w:rPr>
                <w:sz w:val="24"/>
                <w:szCs w:val="24"/>
              </w:rPr>
              <w:t xml:space="preserve">An open tender route is not being followed to procure the contracts leading to the market for these services not being sufficiently tested for VFM and quality considerations  </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195F" w14:textId="77777777" w:rsidR="00E57761" w:rsidRDefault="000F5304" w:rsidP="00E57761">
            <w:pPr>
              <w:pStyle w:val="ListParagraph"/>
              <w:numPr>
                <w:ilvl w:val="0"/>
                <w:numId w:val="19"/>
              </w:numPr>
              <w:suppressAutoHyphens/>
              <w:autoSpaceDN w:val="0"/>
              <w:spacing w:line="244" w:lineRule="auto"/>
              <w:ind w:left="171" w:right="141" w:hanging="171"/>
              <w:rPr>
                <w:szCs w:val="22"/>
                <w:lang w:val="en-US"/>
              </w:rPr>
            </w:pPr>
            <w:r>
              <w:rPr>
                <w:szCs w:val="22"/>
                <w:lang w:val="en-US"/>
              </w:rPr>
              <w:t xml:space="preserve">The LGPS frameworks </w:t>
            </w:r>
            <w:r w:rsidR="00E57761">
              <w:rPr>
                <w:szCs w:val="22"/>
                <w:lang w:val="en-US"/>
              </w:rPr>
              <w:t xml:space="preserve"> </w:t>
            </w:r>
            <w:r>
              <w:rPr>
                <w:szCs w:val="22"/>
                <w:lang w:val="en-US"/>
              </w:rPr>
              <w:t>are fully compliant with the Public Contracts Regulations 2015.</w:t>
            </w:r>
          </w:p>
          <w:p w14:paraId="44199471" w14:textId="77777777" w:rsidR="00AD0A3F" w:rsidRDefault="000F5304" w:rsidP="00E57761">
            <w:pPr>
              <w:pStyle w:val="ListParagraph"/>
              <w:numPr>
                <w:ilvl w:val="0"/>
                <w:numId w:val="19"/>
              </w:numPr>
              <w:suppressAutoHyphens/>
              <w:autoSpaceDN w:val="0"/>
              <w:spacing w:line="244" w:lineRule="auto"/>
              <w:ind w:left="171" w:right="141" w:hanging="171"/>
              <w:rPr>
                <w:szCs w:val="22"/>
                <w:lang w:val="en-US"/>
              </w:rPr>
            </w:pPr>
            <w:r>
              <w:rPr>
                <w:szCs w:val="22"/>
                <w:lang w:val="en-US"/>
              </w:rPr>
              <w:t>All providers listed on the frameworks have been</w:t>
            </w:r>
            <w:r w:rsidR="00AD0A3F">
              <w:rPr>
                <w:szCs w:val="22"/>
                <w:lang w:val="en-US"/>
              </w:rPr>
              <w:t xml:space="preserve"> </w:t>
            </w:r>
            <w:r>
              <w:rPr>
                <w:szCs w:val="22"/>
                <w:lang w:val="en-US"/>
              </w:rPr>
              <w:t xml:space="preserve">through a rigorous process </w:t>
            </w:r>
            <w:r w:rsidR="00AD0A3F">
              <w:rPr>
                <w:szCs w:val="22"/>
                <w:lang w:val="en-US"/>
              </w:rPr>
              <w:t>to ensure that only those which can meet the required quality threshold for the services are included on the framework.</w:t>
            </w:r>
          </w:p>
          <w:p w14:paraId="77F7690A" w14:textId="4A13CB24" w:rsidR="000F5304" w:rsidRDefault="00AD0A3F" w:rsidP="00AD0A3F">
            <w:pPr>
              <w:pStyle w:val="ListParagraph"/>
              <w:suppressAutoHyphens/>
              <w:autoSpaceDN w:val="0"/>
              <w:spacing w:line="244" w:lineRule="auto"/>
              <w:ind w:left="171" w:right="141"/>
              <w:rPr>
                <w:szCs w:val="22"/>
                <w:lang w:val="en-US"/>
              </w:rPr>
            </w:pPr>
            <w:r>
              <w:rPr>
                <w:szCs w:val="22"/>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9DC21B7" w14:textId="77777777" w:rsidR="00E57761" w:rsidRDefault="00E57761" w:rsidP="00E57761">
            <w:pPr>
              <w:spacing w:line="244" w:lineRule="auto"/>
              <w:ind w:left="171" w:right="141"/>
              <w:jc w:val="center"/>
              <w:rPr>
                <w:rFonts w:cs="Arial"/>
                <w:b/>
                <w:bCs/>
                <w:szCs w:val="24"/>
                <w:lang w:val="en-US" w:eastAsia="en-GB"/>
              </w:rPr>
            </w:pPr>
          </w:p>
          <w:p w14:paraId="396D579E" w14:textId="77777777" w:rsidR="00E57761" w:rsidRDefault="00E57761" w:rsidP="00E57761">
            <w:pPr>
              <w:spacing w:line="244" w:lineRule="auto"/>
              <w:ind w:left="171" w:right="141"/>
              <w:jc w:val="center"/>
              <w:rPr>
                <w:rFonts w:cs="Arial"/>
                <w:b/>
                <w:bCs/>
                <w:szCs w:val="24"/>
                <w:lang w:val="en-US" w:eastAsia="en-GB"/>
              </w:rPr>
            </w:pPr>
          </w:p>
          <w:p w14:paraId="1D1D2876" w14:textId="77777777" w:rsidR="00E57761" w:rsidRDefault="00E57761" w:rsidP="00E57761">
            <w:pPr>
              <w:spacing w:line="244" w:lineRule="auto"/>
              <w:ind w:left="171" w:right="141"/>
              <w:jc w:val="center"/>
              <w:rPr>
                <w:rFonts w:cs="Arial"/>
                <w:b/>
                <w:bCs/>
                <w:szCs w:val="24"/>
                <w:lang w:val="en-US" w:eastAsia="en-GB"/>
              </w:rPr>
            </w:pPr>
          </w:p>
          <w:p w14:paraId="698589DC" w14:textId="32C72682" w:rsidR="00E57761" w:rsidRDefault="00E57761" w:rsidP="00E57761">
            <w:pPr>
              <w:spacing w:line="244" w:lineRule="auto"/>
              <w:ind w:left="171" w:right="141"/>
              <w:jc w:val="center"/>
              <w:rPr>
                <w:rFonts w:cs="Arial"/>
                <w:szCs w:val="24"/>
                <w:lang w:val="en-US" w:eastAsia="en-GB"/>
              </w:rPr>
            </w:pPr>
            <w:r w:rsidRPr="004043CF">
              <w:rPr>
                <w:rFonts w:cs="Arial"/>
                <w:b/>
                <w:bCs/>
                <w:szCs w:val="24"/>
                <w:lang w:val="en-US" w:eastAsia="en-GB"/>
              </w:rPr>
              <w:t>Green</w:t>
            </w:r>
          </w:p>
        </w:tc>
      </w:tr>
      <w:tr w:rsidR="00E57761" w14:paraId="496C581E" w14:textId="77777777" w:rsidTr="00E57761">
        <w:trPr>
          <w:trHeight w:val="700"/>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EE20" w14:textId="386DC32B" w:rsidR="00E57761" w:rsidRPr="00791F31" w:rsidRDefault="00E57761" w:rsidP="00E57761">
            <w:pPr>
              <w:rPr>
                <w:color w:val="FF0000"/>
              </w:rPr>
            </w:pPr>
            <w:r w:rsidRPr="00E57761">
              <w:t>The procurement is not undertaken  in full compliance with the Council’s tendering and procurement rules and regulations</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DF42" w14:textId="77777777" w:rsidR="00E57761" w:rsidRDefault="00AD0A3F" w:rsidP="00E57761">
            <w:pPr>
              <w:pStyle w:val="ListParagraph"/>
              <w:numPr>
                <w:ilvl w:val="0"/>
                <w:numId w:val="19"/>
              </w:numPr>
              <w:suppressAutoHyphens/>
              <w:autoSpaceDN w:val="0"/>
              <w:spacing w:line="244" w:lineRule="auto"/>
              <w:ind w:left="171" w:right="141" w:hanging="171"/>
              <w:rPr>
                <w:szCs w:val="22"/>
                <w:lang w:val="en-US"/>
              </w:rPr>
            </w:pPr>
            <w:r>
              <w:rPr>
                <w:szCs w:val="22"/>
                <w:lang w:val="en-US"/>
              </w:rPr>
              <w:t>The LGPS frameworks  are fully compliant with the Public Contracts Regulations 2015, and have been used by Harrow previously.</w:t>
            </w:r>
          </w:p>
          <w:p w14:paraId="7DE844AC" w14:textId="5B6FCCD3" w:rsidR="00AD0A3F" w:rsidRDefault="00AD0A3F" w:rsidP="00E57761">
            <w:pPr>
              <w:pStyle w:val="ListParagraph"/>
              <w:numPr>
                <w:ilvl w:val="0"/>
                <w:numId w:val="19"/>
              </w:numPr>
              <w:suppressAutoHyphens/>
              <w:autoSpaceDN w:val="0"/>
              <w:spacing w:line="244" w:lineRule="auto"/>
              <w:ind w:left="171" w:right="141" w:hanging="171"/>
              <w:rPr>
                <w:szCs w:val="22"/>
                <w:lang w:val="en-US"/>
              </w:rPr>
            </w:pPr>
            <w:r>
              <w:rPr>
                <w:szCs w:val="22"/>
                <w:lang w:val="en-US"/>
              </w:rPr>
              <w:t xml:space="preserve">The frameworks require a “mini competition” under which bidders will be evaluated against specific quality and price metrics to provide best value in </w:t>
            </w:r>
            <w:r>
              <w:rPr>
                <w:szCs w:val="22"/>
                <w:lang w:val="en-US"/>
              </w:rPr>
              <w:lastRenderedPageBreak/>
              <w:t>meeting Harrow’s requirements.</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37156A5A" w14:textId="77777777" w:rsidR="00E57761" w:rsidRDefault="00E57761" w:rsidP="00E57761">
            <w:pPr>
              <w:spacing w:line="244" w:lineRule="auto"/>
              <w:ind w:left="171" w:right="141"/>
              <w:jc w:val="center"/>
              <w:rPr>
                <w:rFonts w:cs="Arial"/>
                <w:b/>
                <w:bCs/>
                <w:szCs w:val="24"/>
                <w:lang w:val="en-US" w:eastAsia="en-GB"/>
              </w:rPr>
            </w:pPr>
          </w:p>
          <w:p w14:paraId="7E167025" w14:textId="77777777" w:rsidR="00E57761" w:rsidRDefault="00E57761" w:rsidP="00E57761">
            <w:pPr>
              <w:spacing w:line="244" w:lineRule="auto"/>
              <w:ind w:left="171" w:right="141"/>
              <w:jc w:val="center"/>
              <w:rPr>
                <w:rFonts w:cs="Arial"/>
                <w:b/>
                <w:bCs/>
                <w:szCs w:val="24"/>
                <w:lang w:val="en-US" w:eastAsia="en-GB"/>
              </w:rPr>
            </w:pPr>
          </w:p>
          <w:p w14:paraId="529F6ED9" w14:textId="4B9DC189" w:rsidR="00E57761" w:rsidRDefault="00E57761" w:rsidP="00E57761">
            <w:pPr>
              <w:spacing w:line="244" w:lineRule="auto"/>
              <w:ind w:left="171" w:right="141"/>
              <w:jc w:val="center"/>
              <w:rPr>
                <w:rFonts w:cs="Arial"/>
                <w:szCs w:val="24"/>
                <w:lang w:val="en-US" w:eastAsia="en-GB"/>
              </w:rPr>
            </w:pPr>
            <w:r w:rsidRPr="004043CF">
              <w:rPr>
                <w:rFonts w:cs="Arial"/>
                <w:b/>
                <w:bCs/>
                <w:szCs w:val="24"/>
                <w:lang w:val="en-US" w:eastAsia="en-GB"/>
              </w:rPr>
              <w:t>Green</w:t>
            </w:r>
          </w:p>
        </w:tc>
      </w:tr>
    </w:tbl>
    <w:p w14:paraId="5C7D5635" w14:textId="77777777" w:rsidR="00791F31" w:rsidRDefault="00791F31" w:rsidP="00791F31"/>
    <w:bookmarkEnd w:id="0"/>
    <w:p w14:paraId="3B969F99" w14:textId="443E4ED8" w:rsidR="004C5958" w:rsidRDefault="00AD0A3F">
      <w:r>
        <w:t xml:space="preserve">While the specific risks related to the decisions required in this report are highlighted above, it should be noted that </w:t>
      </w:r>
      <w:r w:rsidR="00A73FF8">
        <w:t>t</w:t>
      </w:r>
      <w:r w:rsidR="004C5958">
        <w:t>he proposed contracts</w:t>
      </w:r>
      <w:r w:rsidR="0079321B">
        <w:t xml:space="preserve"> </w:t>
      </w:r>
      <w:r>
        <w:t xml:space="preserve">will ensure that Harrow has </w:t>
      </w:r>
      <w:r w:rsidR="0079321B">
        <w:t xml:space="preserve">the required </w:t>
      </w:r>
      <w:r>
        <w:t xml:space="preserve">specialist </w:t>
      </w:r>
      <w:r w:rsidR="0079321B">
        <w:t xml:space="preserve">technical expertise </w:t>
      </w:r>
      <w:r>
        <w:t xml:space="preserve">in place as part of its arrangements to mitigate the strategic funding and investment risks which are listed on the Pension Fund’s Risk Register. </w:t>
      </w:r>
    </w:p>
    <w:bookmarkEnd w:id="1"/>
    <w:bookmarkEnd w:id="2"/>
    <w:p w14:paraId="0249BBDB" w14:textId="0FA25781" w:rsidR="002A3FEF" w:rsidRDefault="002A3FEF" w:rsidP="00A1211C">
      <w:pPr>
        <w:pStyle w:val="Heading3"/>
        <w:spacing w:before="480" w:after="240"/>
      </w:pPr>
      <w:r>
        <w:t>Procurement Implications</w:t>
      </w:r>
    </w:p>
    <w:p w14:paraId="0A043732" w14:textId="7ED7DD2E" w:rsidR="00832517" w:rsidRPr="00003F1F" w:rsidRDefault="00832517" w:rsidP="00832517">
      <w:r>
        <w:t>The contracts for the Pension Fund Procurements for Actuarial Services and for Investment Consultancy Services will be procured in accordance with the Councils Contract Procedure Rules and the Public Contract</w:t>
      </w:r>
      <w:r w:rsidR="009F1CC3">
        <w:t>s</w:t>
      </w:r>
      <w:r>
        <w:t xml:space="preserve"> Regulations 2015.  These services will be procured compliantly via the National LGPS Framework.  </w:t>
      </w:r>
    </w:p>
    <w:p w14:paraId="44413A6E" w14:textId="77777777" w:rsidR="00333FAA" w:rsidRDefault="00333FAA" w:rsidP="00A1211C">
      <w:pPr>
        <w:pStyle w:val="Heading3"/>
        <w:spacing w:before="480" w:after="240"/>
      </w:pPr>
      <w:r>
        <w:t>Legal Implications</w:t>
      </w:r>
    </w:p>
    <w:p w14:paraId="28FC6B1A" w14:textId="77CED438" w:rsidR="00AD5551" w:rsidRDefault="00AD5551" w:rsidP="00AD5551">
      <w:r w:rsidRPr="00AD5551">
        <w:t>The contracts for the Pension Fund Actuarial Services and Investment Consultancy Services will be procured in accordance with the Public Contracts Regulations 2015</w:t>
      </w:r>
      <w:r w:rsidR="006503E8">
        <w:t xml:space="preserve">, under </w:t>
      </w:r>
      <w:r w:rsidR="005F7B3B">
        <w:t>the</w:t>
      </w:r>
      <w:r w:rsidR="006503E8">
        <w:t xml:space="preserve"> </w:t>
      </w:r>
      <w:r w:rsidR="00B63E70">
        <w:t xml:space="preserve">current </w:t>
      </w:r>
      <w:r w:rsidR="009A2274">
        <w:t>lawfully</w:t>
      </w:r>
      <w:r w:rsidR="00B63E70">
        <w:t xml:space="preserve"> </w:t>
      </w:r>
      <w:r w:rsidR="009A2274">
        <w:t>established</w:t>
      </w:r>
      <w:r w:rsidR="00B63E70">
        <w:t xml:space="preserve"> </w:t>
      </w:r>
      <w:r w:rsidR="0082276B" w:rsidRPr="0082276B">
        <w:t xml:space="preserve">National LGPS Framework </w:t>
      </w:r>
      <w:r w:rsidR="009A2274">
        <w:t>agreement</w:t>
      </w:r>
      <w:r w:rsidR="00B63E70">
        <w:t xml:space="preserve"> in accordance with the </w:t>
      </w:r>
      <w:r w:rsidR="00EA6220">
        <w:t>F</w:t>
      </w:r>
      <w:r w:rsidR="00B63E70">
        <w:t>ramework rules</w:t>
      </w:r>
      <w:r w:rsidR="009A2274">
        <w:t xml:space="preserve">, and </w:t>
      </w:r>
      <w:r w:rsidR="005F7B3B">
        <w:t xml:space="preserve">in accordance with </w:t>
      </w:r>
      <w:r w:rsidR="006503E8" w:rsidRPr="006503E8">
        <w:t>the Councils Contract Procedure Rules</w:t>
      </w:r>
      <w:r w:rsidR="00D448A9">
        <w:t xml:space="preserve">. </w:t>
      </w:r>
      <w:r w:rsidRPr="00AD5551">
        <w:t xml:space="preserve">  </w:t>
      </w:r>
    </w:p>
    <w:p w14:paraId="2CE53084" w14:textId="77777777" w:rsidR="00FE7E73" w:rsidRDefault="00FE7E73" w:rsidP="00AD5551"/>
    <w:p w14:paraId="32F33617" w14:textId="5B9F4E3B" w:rsidR="00FE7E73" w:rsidRPr="00AD5551" w:rsidRDefault="00FE7E73" w:rsidP="00AD5551">
      <w:r>
        <w:t xml:space="preserve">The </w:t>
      </w:r>
      <w:r w:rsidRPr="00FE7E73">
        <w:t xml:space="preserve">Pension Fund </w:t>
      </w:r>
      <w:r>
        <w:t xml:space="preserve">administering authority </w:t>
      </w:r>
      <w:r w:rsidR="00A317ED">
        <w:t xml:space="preserve">must comply with </w:t>
      </w:r>
      <w:r w:rsidRPr="00FE7E73">
        <w:t xml:space="preserve">the LGPS Regulations 2013 and the LGPS (Management and Investment of Funds) </w:t>
      </w:r>
      <w:r w:rsidR="007F4572">
        <w:t>R</w:t>
      </w:r>
      <w:r w:rsidRPr="00FE7E73">
        <w:t xml:space="preserve">egulations 2016.  </w:t>
      </w:r>
    </w:p>
    <w:p w14:paraId="11F2AC04" w14:textId="77777777" w:rsidR="00333FAA" w:rsidRDefault="00333FAA" w:rsidP="00A1211C">
      <w:pPr>
        <w:pStyle w:val="Heading3"/>
        <w:spacing w:before="480" w:after="240"/>
      </w:pPr>
      <w:r>
        <w:t>Financial Implications</w:t>
      </w:r>
    </w:p>
    <w:p w14:paraId="39B5AADA" w14:textId="3C033B08" w:rsidR="00D30784" w:rsidRDefault="00D30784" w:rsidP="00D30784">
      <w:pPr>
        <w:rPr>
          <w:szCs w:val="24"/>
          <w:lang w:val="en-US"/>
        </w:rPr>
      </w:pPr>
      <w:r>
        <w:rPr>
          <w:szCs w:val="24"/>
          <w:lang w:val="en-US"/>
        </w:rPr>
        <w:t>The cost of joining the two relevant LGPS frameworks is £8,000 as follows</w:t>
      </w:r>
    </w:p>
    <w:p w14:paraId="19C35DB0" w14:textId="66D27B59" w:rsidR="00D30784" w:rsidRDefault="00D30784" w:rsidP="00D30784">
      <w:pPr>
        <w:pStyle w:val="ListParagraph"/>
        <w:numPr>
          <w:ilvl w:val="0"/>
          <w:numId w:val="15"/>
        </w:numPr>
        <w:rPr>
          <w:szCs w:val="24"/>
          <w:lang w:val="en-US"/>
        </w:rPr>
      </w:pPr>
      <w:r>
        <w:rPr>
          <w:szCs w:val="24"/>
          <w:lang w:val="en-US"/>
        </w:rPr>
        <w:t xml:space="preserve">Actuarial service </w:t>
      </w:r>
      <w:r w:rsidRPr="00D30784">
        <w:rPr>
          <w:szCs w:val="24"/>
          <w:lang w:val="en-US"/>
        </w:rPr>
        <w:t>£3,000</w:t>
      </w:r>
    </w:p>
    <w:p w14:paraId="33D3041D" w14:textId="0B1E6052" w:rsidR="00D30784" w:rsidRDefault="00D30784" w:rsidP="00D30784">
      <w:pPr>
        <w:pStyle w:val="ListParagraph"/>
        <w:numPr>
          <w:ilvl w:val="0"/>
          <w:numId w:val="15"/>
        </w:numPr>
        <w:rPr>
          <w:szCs w:val="24"/>
          <w:lang w:val="en-US"/>
        </w:rPr>
      </w:pPr>
      <w:r>
        <w:rPr>
          <w:szCs w:val="24"/>
          <w:lang w:val="en-US"/>
        </w:rPr>
        <w:t>Investment Consultancy services £5,000.</w:t>
      </w:r>
    </w:p>
    <w:p w14:paraId="2761E50F" w14:textId="59CD6F9B" w:rsidR="00D30784" w:rsidRPr="00D30784" w:rsidRDefault="00D30784" w:rsidP="00D30784">
      <w:pPr>
        <w:rPr>
          <w:szCs w:val="24"/>
          <w:lang w:val="en-US"/>
        </w:rPr>
      </w:pPr>
      <w:r>
        <w:rPr>
          <w:szCs w:val="24"/>
          <w:lang w:val="en-US"/>
        </w:rPr>
        <w:t xml:space="preserve">This </w:t>
      </w:r>
      <w:r w:rsidR="00C90630">
        <w:rPr>
          <w:szCs w:val="24"/>
          <w:lang w:val="en-US"/>
        </w:rPr>
        <w:t xml:space="preserve">fee </w:t>
      </w:r>
      <w:r>
        <w:rPr>
          <w:szCs w:val="24"/>
          <w:lang w:val="en-US"/>
        </w:rPr>
        <w:t>provides access to all the relevant documentation and will be met from the Pension Fund.</w:t>
      </w:r>
    </w:p>
    <w:p w14:paraId="1E4D3EC2" w14:textId="77777777" w:rsidR="00D30784" w:rsidRDefault="00D30784" w:rsidP="00D30784">
      <w:pPr>
        <w:rPr>
          <w:szCs w:val="24"/>
          <w:lang w:val="en-US"/>
        </w:rPr>
      </w:pPr>
    </w:p>
    <w:p w14:paraId="1AA30CEF" w14:textId="0F19D7FD" w:rsidR="00D30784" w:rsidRPr="00630D17" w:rsidRDefault="00D30784" w:rsidP="00D30784">
      <w:pPr>
        <w:rPr>
          <w:szCs w:val="24"/>
        </w:rPr>
      </w:pPr>
      <w:r w:rsidRPr="00D74C79">
        <w:rPr>
          <w:szCs w:val="24"/>
          <w:lang w:val="en-US"/>
        </w:rPr>
        <w:t>The annual cost of the current contract</w:t>
      </w:r>
      <w:r>
        <w:rPr>
          <w:szCs w:val="24"/>
          <w:lang w:val="en-US"/>
        </w:rPr>
        <w:t xml:space="preserve">s are shown in Appendix </w:t>
      </w:r>
      <w:r w:rsidR="004C5958">
        <w:rPr>
          <w:szCs w:val="24"/>
          <w:lang w:val="en-US"/>
        </w:rPr>
        <w:t>2</w:t>
      </w:r>
      <w:r>
        <w:rPr>
          <w:szCs w:val="24"/>
          <w:lang w:val="en-US"/>
        </w:rPr>
        <w:t>. It is envisaged that the new contract</w:t>
      </w:r>
      <w:r w:rsidR="00C90630">
        <w:rPr>
          <w:szCs w:val="24"/>
          <w:lang w:val="en-US"/>
        </w:rPr>
        <w:t>s</w:t>
      </w:r>
      <w:r>
        <w:rPr>
          <w:szCs w:val="24"/>
          <w:lang w:val="en-US"/>
        </w:rPr>
        <w:t xml:space="preserve"> will be </w:t>
      </w:r>
      <w:r w:rsidR="00C90630">
        <w:rPr>
          <w:szCs w:val="24"/>
          <w:lang w:val="en-US"/>
        </w:rPr>
        <w:t xml:space="preserve">similar, although they are likely to </w:t>
      </w:r>
      <w:r w:rsidR="004C5958">
        <w:rPr>
          <w:szCs w:val="24"/>
          <w:lang w:val="en-US"/>
        </w:rPr>
        <w:t xml:space="preserve">be slightly higher </w:t>
      </w:r>
      <w:r w:rsidR="00C90630">
        <w:rPr>
          <w:szCs w:val="24"/>
          <w:lang w:val="en-US"/>
        </w:rPr>
        <w:t>reflect</w:t>
      </w:r>
      <w:r w:rsidR="004C5958">
        <w:rPr>
          <w:szCs w:val="24"/>
          <w:lang w:val="en-US"/>
        </w:rPr>
        <w:t xml:space="preserve">ing </w:t>
      </w:r>
      <w:r w:rsidR="00C90630">
        <w:rPr>
          <w:szCs w:val="24"/>
          <w:lang w:val="en-US"/>
        </w:rPr>
        <w:t xml:space="preserve">some impact of recent inflation pressures. </w:t>
      </w:r>
      <w:r>
        <w:rPr>
          <w:szCs w:val="24"/>
          <w:lang w:val="en-US"/>
        </w:rPr>
        <w:t xml:space="preserve">These costs </w:t>
      </w:r>
      <w:r w:rsidR="004C5958">
        <w:rPr>
          <w:szCs w:val="24"/>
          <w:lang w:val="en-US"/>
        </w:rPr>
        <w:t>will be</w:t>
      </w:r>
      <w:r>
        <w:rPr>
          <w:szCs w:val="24"/>
          <w:lang w:val="en-US"/>
        </w:rPr>
        <w:t xml:space="preserve"> met from the Pension Fund. </w:t>
      </w:r>
    </w:p>
    <w:p w14:paraId="41D80CF8" w14:textId="229C06D2" w:rsidR="00333FAA" w:rsidRPr="00303FD6" w:rsidRDefault="00EC0638" w:rsidP="00A1211C">
      <w:pPr>
        <w:pStyle w:val="Heading3"/>
        <w:spacing w:before="480" w:after="240"/>
        <w:rPr>
          <w:color w:val="FF0000"/>
        </w:rPr>
      </w:pPr>
      <w:r>
        <w:t>E</w:t>
      </w:r>
      <w:r w:rsidR="00333FAA" w:rsidRPr="004A2543">
        <w:t>qualities implications</w:t>
      </w:r>
      <w:r w:rsidR="001C7E35">
        <w:t xml:space="preserve"> </w:t>
      </w:r>
      <w:r w:rsidR="00333FAA" w:rsidRPr="00333FAA">
        <w:t>/</w:t>
      </w:r>
      <w:r w:rsidR="001C7E35">
        <w:t xml:space="preserve"> </w:t>
      </w:r>
      <w:r w:rsidR="00333FAA" w:rsidRPr="00333FAA">
        <w:t>Public Sector Equality Duty</w:t>
      </w:r>
    </w:p>
    <w:p w14:paraId="132244E9" w14:textId="593F5BF9" w:rsidR="00FE17E2" w:rsidRPr="005E64AC" w:rsidRDefault="005E64AC" w:rsidP="576EF44A">
      <w:pPr>
        <w:rPr>
          <w:rStyle w:val="eop"/>
          <w:szCs w:val="24"/>
        </w:rPr>
      </w:pPr>
      <w:r w:rsidRPr="005E64AC">
        <w:t>There are no direct equalities implications arising from this report.</w:t>
      </w:r>
      <w:r w:rsidR="23B6646C" w:rsidRPr="005E64AC">
        <w:rPr>
          <w:rStyle w:val="normaltextrun"/>
          <w:rFonts w:cs="Arial"/>
        </w:rPr>
        <w:t xml:space="preserve"> </w:t>
      </w:r>
    </w:p>
    <w:p w14:paraId="735D81F2" w14:textId="77777777" w:rsidR="00377569" w:rsidRPr="00AF31F7" w:rsidRDefault="00377569" w:rsidP="00AF31F7">
      <w:pPr>
        <w:pStyle w:val="Heading4"/>
        <w:spacing w:before="480"/>
        <w:rPr>
          <w:sz w:val="28"/>
          <w:szCs w:val="28"/>
        </w:rPr>
      </w:pPr>
      <w:r w:rsidRPr="00AF31F7">
        <w:rPr>
          <w:sz w:val="28"/>
          <w:szCs w:val="28"/>
        </w:rPr>
        <w:lastRenderedPageBreak/>
        <w:t>Council Priorities</w:t>
      </w:r>
    </w:p>
    <w:p w14:paraId="654F216A" w14:textId="77777777" w:rsidR="00377569" w:rsidRDefault="00377569" w:rsidP="00377569">
      <w:pPr>
        <w:rPr>
          <w:rFonts w:cs="Arial"/>
          <w:szCs w:val="24"/>
          <w:lang w:val="en-US"/>
        </w:rPr>
      </w:pPr>
    </w:p>
    <w:p w14:paraId="2825AF0D" w14:textId="77777777" w:rsidR="00377569" w:rsidRDefault="00377569" w:rsidP="00207935">
      <w:pPr>
        <w:pStyle w:val="StyleListParagraphBold"/>
        <w:numPr>
          <w:ilvl w:val="0"/>
          <w:numId w:val="6"/>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207935">
      <w:pPr>
        <w:pStyle w:val="StyleListParagraphBold"/>
        <w:numPr>
          <w:ilvl w:val="0"/>
          <w:numId w:val="6"/>
        </w:numPr>
      </w:pPr>
      <w:r w:rsidRPr="00752110">
        <w:t>A borough that is clean and safe</w:t>
      </w:r>
    </w:p>
    <w:p w14:paraId="3A49274B" w14:textId="77777777" w:rsidR="00377569" w:rsidRPr="00752110" w:rsidRDefault="00377569" w:rsidP="00377569">
      <w:pPr>
        <w:pStyle w:val="StyleListParagraphBold"/>
        <w:ind w:left="0"/>
      </w:pPr>
    </w:p>
    <w:p w14:paraId="23753281" w14:textId="12D13681" w:rsidR="00377569" w:rsidRDefault="00377569" w:rsidP="00207935">
      <w:pPr>
        <w:pStyle w:val="StyleListParagraphBold"/>
        <w:numPr>
          <w:ilvl w:val="0"/>
          <w:numId w:val="6"/>
        </w:numPr>
      </w:pPr>
      <w:r w:rsidRPr="00752110">
        <w:t>A place where those in need are supported</w:t>
      </w:r>
    </w:p>
    <w:p w14:paraId="3A8A1ABD" w14:textId="77777777" w:rsidR="00910FD4" w:rsidRDefault="00910FD4" w:rsidP="00910FD4">
      <w:pPr>
        <w:pStyle w:val="ListParagraph"/>
      </w:pPr>
    </w:p>
    <w:p w14:paraId="7F249C38" w14:textId="60721DEF" w:rsidR="00910FD4" w:rsidRPr="00910FD4" w:rsidRDefault="00910FD4" w:rsidP="00910FD4">
      <w:pPr>
        <w:pStyle w:val="StyleListParagraphBold"/>
        <w:ind w:left="0"/>
        <w:rPr>
          <w:b w:val="0"/>
          <w:bCs w:val="0"/>
        </w:rPr>
      </w:pPr>
      <w:r w:rsidRPr="00910FD4">
        <w:rPr>
          <w:b w:val="0"/>
          <w:bCs w:val="0"/>
          <w:szCs w:val="24"/>
        </w:rPr>
        <w:t>These contracts support the Harrow Pension Fund in ensuring that employer contributions are kept stable and as low as possible while ensuring that the Fund is able to pay scheme members’ pensions when they fall due. Having adequate pensions helps to address poverty in retirement, and in doing so assists in improving health outcomes.</w:t>
      </w:r>
    </w:p>
    <w:p w14:paraId="5514D939" w14:textId="77777777" w:rsidR="00333FAA" w:rsidRDefault="00333FAA" w:rsidP="000B7C66">
      <w:pPr>
        <w:pStyle w:val="Heading2"/>
        <w:spacing w:before="480" w:after="240"/>
      </w:pPr>
      <w:r>
        <w:t>Section 3 - Statutory Officer Clearance</w:t>
      </w:r>
    </w:p>
    <w:p w14:paraId="3B5D52F9" w14:textId="3F4593E4" w:rsidR="00A66326" w:rsidRPr="00A66326" w:rsidRDefault="00A66326" w:rsidP="00A66326">
      <w:pPr>
        <w:rPr>
          <w:sz w:val="28"/>
        </w:rPr>
      </w:pPr>
      <w:r w:rsidRPr="00A66326">
        <w:rPr>
          <w:b/>
          <w:sz w:val="28"/>
        </w:rPr>
        <w:t xml:space="preserve">Statutory Officer:  </w:t>
      </w:r>
      <w:r w:rsidR="00EC0638">
        <w:rPr>
          <w:b/>
          <w:sz w:val="28"/>
        </w:rPr>
        <w:t>Dawn Calvert</w:t>
      </w:r>
    </w:p>
    <w:p w14:paraId="06450070" w14:textId="7C223AF9" w:rsidR="00A66326" w:rsidRPr="00A66326" w:rsidRDefault="00A66326" w:rsidP="00A66326">
      <w:r w:rsidRPr="00A66326">
        <w:t>Signed by the Chief Financial Officer</w:t>
      </w:r>
    </w:p>
    <w:p w14:paraId="555021EF" w14:textId="599EBED5" w:rsidR="00A66326" w:rsidRPr="00A66326" w:rsidRDefault="00A66326" w:rsidP="00A66326">
      <w:pPr>
        <w:spacing w:after="480"/>
        <w:rPr>
          <w:sz w:val="28"/>
        </w:rPr>
      </w:pPr>
      <w:r w:rsidRPr="00A66326">
        <w:rPr>
          <w:b/>
          <w:sz w:val="28"/>
        </w:rPr>
        <w:t xml:space="preserve">Date:  </w:t>
      </w:r>
      <w:r w:rsidR="00EC0638">
        <w:rPr>
          <w:b/>
          <w:sz w:val="28"/>
        </w:rPr>
        <w:t>28/04/2023</w:t>
      </w:r>
    </w:p>
    <w:p w14:paraId="7E329E85" w14:textId="7CC1D0A2" w:rsidR="00A66326" w:rsidRPr="00A66326" w:rsidRDefault="00A66326" w:rsidP="00A66326">
      <w:pPr>
        <w:rPr>
          <w:sz w:val="28"/>
        </w:rPr>
      </w:pPr>
      <w:r w:rsidRPr="00A66326">
        <w:rPr>
          <w:b/>
          <w:sz w:val="28"/>
        </w:rPr>
        <w:t xml:space="preserve">Statutory Officer:  </w:t>
      </w:r>
      <w:r w:rsidR="00371996">
        <w:rPr>
          <w:b/>
          <w:sz w:val="28"/>
        </w:rPr>
        <w:t>Stephen Dorian</w:t>
      </w:r>
    </w:p>
    <w:p w14:paraId="76F84634" w14:textId="6501A90A" w:rsidR="00A66326" w:rsidRPr="00A66326" w:rsidRDefault="00A66326" w:rsidP="00A66326">
      <w:r w:rsidRPr="00A66326">
        <w:t>Signed on behalf of the Monitoring Officer</w:t>
      </w:r>
    </w:p>
    <w:p w14:paraId="1AC0D358" w14:textId="5E1584B1" w:rsidR="00A66326" w:rsidRPr="003313EA" w:rsidRDefault="00A66326" w:rsidP="00245F7C">
      <w:pPr>
        <w:ind w:left="360" w:hanging="360"/>
        <w:jc w:val="both"/>
        <w:rPr>
          <w:sz w:val="28"/>
        </w:rPr>
      </w:pPr>
      <w:r w:rsidRPr="00A66326">
        <w:rPr>
          <w:b/>
          <w:sz w:val="28"/>
        </w:rPr>
        <w:t xml:space="preserve">Date:  </w:t>
      </w:r>
      <w:r w:rsidR="00371996">
        <w:rPr>
          <w:b/>
          <w:sz w:val="28"/>
        </w:rPr>
        <w:t>03/05/2023</w:t>
      </w:r>
    </w:p>
    <w:p w14:paraId="1173D2AA" w14:textId="77777777" w:rsidR="00245F7C" w:rsidRDefault="00245F7C" w:rsidP="00BF5AFA">
      <w:pPr>
        <w:rPr>
          <w:b/>
          <w:sz w:val="28"/>
        </w:rPr>
      </w:pPr>
    </w:p>
    <w:p w14:paraId="31D8FA55" w14:textId="7A906B5D" w:rsidR="00BF5AFA" w:rsidRPr="00A66326" w:rsidRDefault="00BF5AFA" w:rsidP="00BF5AFA">
      <w:pPr>
        <w:rPr>
          <w:sz w:val="28"/>
        </w:rPr>
      </w:pPr>
      <w:r>
        <w:rPr>
          <w:b/>
          <w:sz w:val="28"/>
        </w:rPr>
        <w:t>Chief</w:t>
      </w:r>
      <w:r w:rsidRPr="00A66326">
        <w:rPr>
          <w:b/>
          <w:sz w:val="28"/>
        </w:rPr>
        <w:t xml:space="preserve"> Officer:  </w:t>
      </w:r>
      <w:r w:rsidR="0039657E">
        <w:rPr>
          <w:b/>
          <w:sz w:val="28"/>
        </w:rPr>
        <w:t>Dawn Calvert</w:t>
      </w:r>
    </w:p>
    <w:p w14:paraId="6C086558" w14:textId="0EA85C79" w:rsidR="00BF5AFA" w:rsidRPr="00A66326" w:rsidRDefault="00BF5AFA" w:rsidP="00BF5AFA">
      <w:r w:rsidRPr="00A66326">
        <w:t xml:space="preserve">Signed </w:t>
      </w:r>
      <w:r>
        <w:t>off</w:t>
      </w:r>
      <w:r w:rsidR="0039657E">
        <w:t xml:space="preserve"> on behalf of</w:t>
      </w:r>
      <w:r>
        <w:t xml:space="preserve"> the Corporate Director</w:t>
      </w:r>
    </w:p>
    <w:p w14:paraId="5F67CDF0" w14:textId="0C08CD08" w:rsidR="00BF5AFA" w:rsidRPr="00A66326" w:rsidRDefault="00BF5AFA" w:rsidP="00BF5AFA">
      <w:pPr>
        <w:spacing w:after="480"/>
        <w:rPr>
          <w:sz w:val="28"/>
        </w:rPr>
      </w:pPr>
      <w:r w:rsidRPr="00A66326">
        <w:rPr>
          <w:b/>
          <w:sz w:val="28"/>
        </w:rPr>
        <w:t xml:space="preserve">Date:  </w:t>
      </w:r>
      <w:r w:rsidR="0039657E">
        <w:rPr>
          <w:b/>
          <w:sz w:val="28"/>
        </w:rPr>
        <w:t>28/04/2023</w:t>
      </w:r>
    </w:p>
    <w:p w14:paraId="2C546334" w14:textId="71176E04" w:rsidR="00BF5AFA" w:rsidRPr="00A66326" w:rsidRDefault="00BF5AFA" w:rsidP="00BF5AFA">
      <w:pPr>
        <w:rPr>
          <w:sz w:val="28"/>
        </w:rPr>
      </w:pPr>
      <w:r>
        <w:rPr>
          <w:b/>
          <w:sz w:val="28"/>
        </w:rPr>
        <w:t>Head of Procurement</w:t>
      </w:r>
      <w:r w:rsidRPr="00A66326">
        <w:rPr>
          <w:b/>
          <w:sz w:val="28"/>
        </w:rPr>
        <w:t xml:space="preserve">:  </w:t>
      </w:r>
      <w:r w:rsidR="0039657E">
        <w:rPr>
          <w:b/>
          <w:sz w:val="28"/>
        </w:rPr>
        <w:t>Lisa Taylor</w:t>
      </w:r>
    </w:p>
    <w:p w14:paraId="3C6E94C3" w14:textId="572A65B7" w:rsidR="00BF5AFA" w:rsidRPr="00A66326" w:rsidRDefault="00BF5AFA" w:rsidP="00BF5AFA">
      <w:r w:rsidRPr="00A66326">
        <w:t xml:space="preserve">Signed on behalf of the </w:t>
      </w:r>
      <w:r>
        <w:t>Head of Procurement</w:t>
      </w:r>
    </w:p>
    <w:p w14:paraId="5A683B65" w14:textId="00F6647C" w:rsidR="00BF5AFA" w:rsidRDefault="00BF5AFA" w:rsidP="00BF5AFA">
      <w:pPr>
        <w:spacing w:after="480"/>
        <w:rPr>
          <w:b/>
          <w:sz w:val="28"/>
        </w:rPr>
      </w:pPr>
      <w:r w:rsidRPr="00A66326">
        <w:rPr>
          <w:b/>
          <w:sz w:val="28"/>
        </w:rPr>
        <w:t xml:space="preserve">Date:  </w:t>
      </w:r>
      <w:r w:rsidR="0039657E">
        <w:rPr>
          <w:b/>
          <w:sz w:val="28"/>
        </w:rPr>
        <w:t>28/04/2023</w:t>
      </w:r>
    </w:p>
    <w:p w14:paraId="113297A5" w14:textId="789869CD" w:rsidR="00BF5AFA" w:rsidRPr="00A66326" w:rsidRDefault="00BF5AFA" w:rsidP="00BF5AFA">
      <w:pPr>
        <w:rPr>
          <w:sz w:val="28"/>
        </w:rPr>
      </w:pPr>
      <w:r>
        <w:rPr>
          <w:b/>
          <w:sz w:val="28"/>
        </w:rPr>
        <w:t>Head of Internal Audit</w:t>
      </w:r>
      <w:r w:rsidRPr="00A66326">
        <w:rPr>
          <w:b/>
          <w:sz w:val="28"/>
        </w:rPr>
        <w:t xml:space="preserve">:  </w:t>
      </w:r>
      <w:r w:rsidR="003618BC">
        <w:rPr>
          <w:b/>
          <w:sz w:val="28"/>
        </w:rPr>
        <w:t xml:space="preserve">Neale Burns </w:t>
      </w:r>
    </w:p>
    <w:p w14:paraId="3B1CEB5F" w14:textId="7CC31C64" w:rsidR="00BF5AFA" w:rsidRPr="003618BC" w:rsidRDefault="00020404" w:rsidP="00245F7C">
      <w:pPr>
        <w:rPr>
          <w:b/>
          <w:sz w:val="28"/>
        </w:rPr>
      </w:pPr>
      <w:r w:rsidRPr="00A66326">
        <w:t xml:space="preserve">Signed on behalf of </w:t>
      </w:r>
      <w:r w:rsidR="003618BC">
        <w:rPr>
          <w:rFonts w:cs="Arial"/>
        </w:rPr>
        <w:t xml:space="preserve">the Head of Internal Audit </w:t>
      </w:r>
    </w:p>
    <w:p w14:paraId="065BF29C" w14:textId="576AEAF2" w:rsidR="00BF5AFA" w:rsidRPr="00245F7C" w:rsidRDefault="00BF5AFA" w:rsidP="00245F7C">
      <w:pPr>
        <w:rPr>
          <w:b/>
          <w:sz w:val="28"/>
        </w:rPr>
      </w:pPr>
      <w:r w:rsidRPr="00245F7C">
        <w:rPr>
          <w:b/>
          <w:sz w:val="28"/>
        </w:rPr>
        <w:t>Date:</w:t>
      </w:r>
      <w:r w:rsidR="003618BC" w:rsidRPr="00245F7C">
        <w:rPr>
          <w:b/>
          <w:sz w:val="28"/>
        </w:rPr>
        <w:t xml:space="preserve"> 04.05.23</w:t>
      </w:r>
    </w:p>
    <w:p w14:paraId="04C352A5" w14:textId="77777777" w:rsidR="00F42E1E" w:rsidRDefault="00F42E1E" w:rsidP="00F42E1E"/>
    <w:p w14:paraId="236185B6" w14:textId="64600657"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39657E">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2F328AF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09F9D162" w:rsidR="003313EA" w:rsidRPr="00202D79" w:rsidRDefault="003313EA" w:rsidP="003313EA">
      <w:pPr>
        <w:pStyle w:val="Heading3"/>
        <w:spacing w:before="240"/>
        <w:rPr>
          <w:b w:val="0"/>
        </w:rPr>
      </w:pPr>
      <w:r w:rsidRPr="00202D79">
        <w:t>EqIA carried out:</w:t>
      </w:r>
      <w:r>
        <w:t xml:space="preserve">  </w:t>
      </w:r>
      <w:r w:rsidRPr="00202D79">
        <w:t>NO</w:t>
      </w:r>
    </w:p>
    <w:p w14:paraId="144D0F82" w14:textId="376907EE" w:rsidR="003313EA" w:rsidRPr="009E1424" w:rsidRDefault="009E1424" w:rsidP="003313EA">
      <w:pPr>
        <w:pStyle w:val="Infotext"/>
        <w:rPr>
          <w:iCs/>
        </w:rPr>
      </w:pPr>
      <w:r w:rsidRPr="009E1424">
        <w:rPr>
          <w:iCs/>
          <w:sz w:val="24"/>
          <w:szCs w:val="24"/>
        </w:rPr>
        <w:lastRenderedPageBreak/>
        <w:t xml:space="preserve">The </w:t>
      </w:r>
      <w:r>
        <w:rPr>
          <w:iCs/>
          <w:sz w:val="24"/>
          <w:szCs w:val="24"/>
        </w:rPr>
        <w:t xml:space="preserve">decisions required will ensure the Council has contracts in place to manage the Harrow Pension Fund in accordance with the Regulations.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C414A42" w14:textId="6500DFB7" w:rsidR="009E1424" w:rsidRDefault="00333FAA" w:rsidP="00245F7C">
      <w:pPr>
        <w:pStyle w:val="Infotext"/>
        <w:spacing w:after="240"/>
      </w:pPr>
      <w:r w:rsidRPr="004E47FC">
        <w:rPr>
          <w:b/>
        </w:rPr>
        <w:t xml:space="preserve">Contact:  </w:t>
      </w:r>
      <w:r w:rsidR="009E1424" w:rsidRPr="000F6D28">
        <w:rPr>
          <w:bCs/>
        </w:rPr>
        <w:t>Jeremy Randall</w:t>
      </w:r>
      <w:r w:rsidR="009E1424">
        <w:rPr>
          <w:b/>
        </w:rPr>
        <w:t xml:space="preserve"> </w:t>
      </w:r>
      <w:r w:rsidR="009E1424">
        <w:t>– Interim Pensions Manager</w:t>
      </w:r>
      <w:r w:rsidR="00245F7C">
        <w:t xml:space="preserve">, </w:t>
      </w:r>
      <w:r w:rsidR="00245F7C">
        <w:t xml:space="preserve">email: </w:t>
      </w:r>
      <w:hyperlink r:id="rId13" w:history="1">
        <w:r w:rsidR="00245F7C" w:rsidRPr="00535953">
          <w:rPr>
            <w:rStyle w:val="Hyperlink"/>
          </w:rPr>
          <w:t>Jeremy.randall@harrow.gov.uk</w:t>
        </w:r>
      </w:hyperlink>
      <w:r w:rsidR="00245F7C">
        <w:rPr>
          <w:rStyle w:val="Hyperlink"/>
        </w:rPr>
        <w:t xml:space="preserve">, </w:t>
      </w:r>
      <w:r w:rsidR="009E1424">
        <w:t>Tel: 020 8736 6552</w:t>
      </w:r>
      <w:r w:rsidR="00245F7C">
        <w:t xml:space="preserve">, </w:t>
      </w:r>
    </w:p>
    <w:p w14:paraId="5643A7F9" w14:textId="3BF364D0" w:rsidR="005718B5" w:rsidRPr="009E1424" w:rsidRDefault="00333FAA" w:rsidP="009E1424">
      <w:pPr>
        <w:pStyle w:val="Infotext"/>
        <w:spacing w:after="240"/>
        <w:rPr>
          <w:b/>
        </w:rPr>
      </w:pPr>
      <w:r w:rsidRPr="004E47FC">
        <w:rPr>
          <w:b/>
        </w:rPr>
        <w:t xml:space="preserve">Background Papers: </w:t>
      </w:r>
      <w:r w:rsidR="005808FB">
        <w:rPr>
          <w:b/>
        </w:rPr>
        <w:t xml:space="preserve"> </w:t>
      </w:r>
      <w:r w:rsidR="009E1424" w:rsidRPr="009E1424">
        <w:t>None</w:t>
      </w:r>
    </w:p>
    <w:p w14:paraId="7C8FEB52" w14:textId="2C6D971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020404">
        <w:rPr>
          <w:rFonts w:ascii="Arial Black" w:hAnsi="Arial Black"/>
        </w:rPr>
        <w:t xml:space="preserve"> - NO</w:t>
      </w:r>
    </w:p>
    <w:p w14:paraId="1E3446E9" w14:textId="44651ADD" w:rsidR="00C90630" w:rsidRDefault="00C90630">
      <w:pPr>
        <w:rPr>
          <w:rFonts w:cs="Arial"/>
          <w:iCs/>
          <w:szCs w:val="24"/>
          <w:lang w:eastAsia="en-GB"/>
        </w:rPr>
      </w:pPr>
    </w:p>
    <w:sectPr w:rsidR="00C90630"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7214" w14:textId="77777777" w:rsidR="0035066B" w:rsidRDefault="0035066B">
      <w:r>
        <w:separator/>
      </w:r>
    </w:p>
  </w:endnote>
  <w:endnote w:type="continuationSeparator" w:id="0">
    <w:p w14:paraId="6C53220B" w14:textId="77777777" w:rsidR="0035066B" w:rsidRDefault="0035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A908" w14:textId="77777777" w:rsidR="0035066B" w:rsidRDefault="0035066B">
      <w:r>
        <w:separator/>
      </w:r>
    </w:p>
  </w:footnote>
  <w:footnote w:type="continuationSeparator" w:id="0">
    <w:p w14:paraId="6D33FA6F" w14:textId="77777777" w:rsidR="0035066B" w:rsidRDefault="0035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5B6"/>
    <w:multiLevelType w:val="hybridMultilevel"/>
    <w:tmpl w:val="701C8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E3084B"/>
    <w:multiLevelType w:val="hybridMultilevel"/>
    <w:tmpl w:val="2DEC208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2AE2"/>
    <w:multiLevelType w:val="hybridMultilevel"/>
    <w:tmpl w:val="8166AB88"/>
    <w:lvl w:ilvl="0" w:tplc="9796CA4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732655"/>
    <w:multiLevelType w:val="hybridMultilevel"/>
    <w:tmpl w:val="FD08A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20EE6"/>
    <w:multiLevelType w:val="multilevel"/>
    <w:tmpl w:val="863E8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2B3C54"/>
    <w:multiLevelType w:val="hybridMultilevel"/>
    <w:tmpl w:val="3260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5FEE"/>
    <w:multiLevelType w:val="hybridMultilevel"/>
    <w:tmpl w:val="BC127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DC1EA8"/>
    <w:multiLevelType w:val="hybridMultilevel"/>
    <w:tmpl w:val="A5067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5109BF"/>
    <w:multiLevelType w:val="multilevel"/>
    <w:tmpl w:val="0BE6C8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C306BA"/>
    <w:multiLevelType w:val="hybridMultilevel"/>
    <w:tmpl w:val="117C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F470F"/>
    <w:multiLevelType w:val="hybridMultilevel"/>
    <w:tmpl w:val="4C72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57353"/>
    <w:multiLevelType w:val="hybridMultilevel"/>
    <w:tmpl w:val="201C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172940"/>
    <w:multiLevelType w:val="hybridMultilevel"/>
    <w:tmpl w:val="D67E1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4C38"/>
    <w:multiLevelType w:val="hybridMultilevel"/>
    <w:tmpl w:val="CC1CF99E"/>
    <w:lvl w:ilvl="0" w:tplc="259058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5068129">
    <w:abstractNumId w:val="5"/>
  </w:num>
  <w:num w:numId="2" w16cid:durableId="264264502">
    <w:abstractNumId w:val="8"/>
  </w:num>
  <w:num w:numId="3" w16cid:durableId="645281415">
    <w:abstractNumId w:val="3"/>
  </w:num>
  <w:num w:numId="4" w16cid:durableId="71243837">
    <w:abstractNumId w:val="17"/>
  </w:num>
  <w:num w:numId="5" w16cid:durableId="1983459741">
    <w:abstractNumId w:val="13"/>
  </w:num>
  <w:num w:numId="6" w16cid:durableId="31392138">
    <w:abstractNumId w:val="11"/>
  </w:num>
  <w:num w:numId="7" w16cid:durableId="1068504790">
    <w:abstractNumId w:val="14"/>
  </w:num>
  <w:num w:numId="8" w16cid:durableId="185682466">
    <w:abstractNumId w:val="2"/>
  </w:num>
  <w:num w:numId="9" w16cid:durableId="956179850">
    <w:abstractNumId w:val="10"/>
  </w:num>
  <w:num w:numId="10" w16cid:durableId="1474055327">
    <w:abstractNumId w:val="4"/>
  </w:num>
  <w:num w:numId="11" w16cid:durableId="1402291101">
    <w:abstractNumId w:val="15"/>
  </w:num>
  <w:num w:numId="12" w16cid:durableId="1748846789">
    <w:abstractNumId w:val="0"/>
  </w:num>
  <w:num w:numId="13" w16cid:durableId="677851197">
    <w:abstractNumId w:val="12"/>
  </w:num>
  <w:num w:numId="14" w16cid:durableId="1247688499">
    <w:abstractNumId w:val="18"/>
  </w:num>
  <w:num w:numId="15" w16cid:durableId="941761359">
    <w:abstractNumId w:val="7"/>
  </w:num>
  <w:num w:numId="16" w16cid:durableId="843057602">
    <w:abstractNumId w:val="1"/>
  </w:num>
  <w:num w:numId="17" w16cid:durableId="848711453">
    <w:abstractNumId w:val="16"/>
  </w:num>
  <w:num w:numId="18" w16cid:durableId="1177886894">
    <w:abstractNumId w:val="9"/>
  </w:num>
  <w:num w:numId="19" w16cid:durableId="74037127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1CA"/>
    <w:rsid w:val="00004B15"/>
    <w:rsid w:val="000125D6"/>
    <w:rsid w:val="00020404"/>
    <w:rsid w:val="0004029A"/>
    <w:rsid w:val="000474E3"/>
    <w:rsid w:val="0006034E"/>
    <w:rsid w:val="00063783"/>
    <w:rsid w:val="00065F63"/>
    <w:rsid w:val="00073765"/>
    <w:rsid w:val="00081C4B"/>
    <w:rsid w:val="000929A6"/>
    <w:rsid w:val="00095FA1"/>
    <w:rsid w:val="000B5015"/>
    <w:rsid w:val="000B788F"/>
    <w:rsid w:val="000B7C66"/>
    <w:rsid w:val="000C38B0"/>
    <w:rsid w:val="000D4E36"/>
    <w:rsid w:val="000E62FE"/>
    <w:rsid w:val="000F5304"/>
    <w:rsid w:val="001009B3"/>
    <w:rsid w:val="00105B8A"/>
    <w:rsid w:val="00107C2A"/>
    <w:rsid w:val="001161E4"/>
    <w:rsid w:val="00125A26"/>
    <w:rsid w:val="001472A8"/>
    <w:rsid w:val="0015376F"/>
    <w:rsid w:val="001614E0"/>
    <w:rsid w:val="00171BD8"/>
    <w:rsid w:val="0017653E"/>
    <w:rsid w:val="00182B01"/>
    <w:rsid w:val="001840D2"/>
    <w:rsid w:val="001966D7"/>
    <w:rsid w:val="001A32F2"/>
    <w:rsid w:val="001C3F2C"/>
    <w:rsid w:val="001C4D2E"/>
    <w:rsid w:val="001C7E35"/>
    <w:rsid w:val="001D0AFD"/>
    <w:rsid w:val="001D3ADD"/>
    <w:rsid w:val="001E3C06"/>
    <w:rsid w:val="001F0037"/>
    <w:rsid w:val="001F0BE9"/>
    <w:rsid w:val="00202D79"/>
    <w:rsid w:val="00205D2F"/>
    <w:rsid w:val="00207935"/>
    <w:rsid w:val="00215E8F"/>
    <w:rsid w:val="00221A93"/>
    <w:rsid w:val="002322BB"/>
    <w:rsid w:val="00236E39"/>
    <w:rsid w:val="00245F7C"/>
    <w:rsid w:val="00251254"/>
    <w:rsid w:val="00252518"/>
    <w:rsid w:val="002548D1"/>
    <w:rsid w:val="002630A8"/>
    <w:rsid w:val="0027283B"/>
    <w:rsid w:val="0028019B"/>
    <w:rsid w:val="00282E73"/>
    <w:rsid w:val="00283CAB"/>
    <w:rsid w:val="0028525A"/>
    <w:rsid w:val="00286609"/>
    <w:rsid w:val="002A3FEF"/>
    <w:rsid w:val="002B54A6"/>
    <w:rsid w:val="002E19D6"/>
    <w:rsid w:val="002F3EE9"/>
    <w:rsid w:val="002F6E4F"/>
    <w:rsid w:val="00307F76"/>
    <w:rsid w:val="00321FBB"/>
    <w:rsid w:val="00330832"/>
    <w:rsid w:val="003313EA"/>
    <w:rsid w:val="00333FAA"/>
    <w:rsid w:val="003355D7"/>
    <w:rsid w:val="0035066B"/>
    <w:rsid w:val="003618BC"/>
    <w:rsid w:val="0036201C"/>
    <w:rsid w:val="00371996"/>
    <w:rsid w:val="00376768"/>
    <w:rsid w:val="00377569"/>
    <w:rsid w:val="00380F87"/>
    <w:rsid w:val="0039657E"/>
    <w:rsid w:val="003A0292"/>
    <w:rsid w:val="003A158E"/>
    <w:rsid w:val="003A6772"/>
    <w:rsid w:val="003C270D"/>
    <w:rsid w:val="003E33A4"/>
    <w:rsid w:val="003F200F"/>
    <w:rsid w:val="003F3AFD"/>
    <w:rsid w:val="00401A7A"/>
    <w:rsid w:val="004028A6"/>
    <w:rsid w:val="004076C8"/>
    <w:rsid w:val="00412865"/>
    <w:rsid w:val="004207E3"/>
    <w:rsid w:val="00421A4C"/>
    <w:rsid w:val="004238C2"/>
    <w:rsid w:val="00435B5D"/>
    <w:rsid w:val="004363F7"/>
    <w:rsid w:val="00436DA6"/>
    <w:rsid w:val="004378F8"/>
    <w:rsid w:val="0044525C"/>
    <w:rsid w:val="004553F1"/>
    <w:rsid w:val="00471C1F"/>
    <w:rsid w:val="004809FA"/>
    <w:rsid w:val="00481E5D"/>
    <w:rsid w:val="004B760B"/>
    <w:rsid w:val="004C2D09"/>
    <w:rsid w:val="004C4A75"/>
    <w:rsid w:val="004C5958"/>
    <w:rsid w:val="004D1F29"/>
    <w:rsid w:val="004D2DA0"/>
    <w:rsid w:val="004E14A4"/>
    <w:rsid w:val="004F225F"/>
    <w:rsid w:val="004F429E"/>
    <w:rsid w:val="004F54BD"/>
    <w:rsid w:val="004F56C5"/>
    <w:rsid w:val="004F59C4"/>
    <w:rsid w:val="00506185"/>
    <w:rsid w:val="00522843"/>
    <w:rsid w:val="005354D0"/>
    <w:rsid w:val="0054172C"/>
    <w:rsid w:val="0054590F"/>
    <w:rsid w:val="005459EC"/>
    <w:rsid w:val="00563EA4"/>
    <w:rsid w:val="005718B5"/>
    <w:rsid w:val="005808FB"/>
    <w:rsid w:val="005811F8"/>
    <w:rsid w:val="00582605"/>
    <w:rsid w:val="00591016"/>
    <w:rsid w:val="005B3F67"/>
    <w:rsid w:val="005D548F"/>
    <w:rsid w:val="005D6EF5"/>
    <w:rsid w:val="005E39B0"/>
    <w:rsid w:val="005E3A10"/>
    <w:rsid w:val="005E64AC"/>
    <w:rsid w:val="005E7509"/>
    <w:rsid w:val="005F7B3B"/>
    <w:rsid w:val="00601D7F"/>
    <w:rsid w:val="00604F72"/>
    <w:rsid w:val="00605A4C"/>
    <w:rsid w:val="0062430E"/>
    <w:rsid w:val="00645B8B"/>
    <w:rsid w:val="006503E8"/>
    <w:rsid w:val="00655044"/>
    <w:rsid w:val="00664DB1"/>
    <w:rsid w:val="00666922"/>
    <w:rsid w:val="00670F17"/>
    <w:rsid w:val="006710C7"/>
    <w:rsid w:val="006850F9"/>
    <w:rsid w:val="00696A83"/>
    <w:rsid w:val="006C580A"/>
    <w:rsid w:val="006C797B"/>
    <w:rsid w:val="006D1E69"/>
    <w:rsid w:val="006F057C"/>
    <w:rsid w:val="006F22DA"/>
    <w:rsid w:val="006F2EB3"/>
    <w:rsid w:val="006F3D60"/>
    <w:rsid w:val="007112D1"/>
    <w:rsid w:val="007116B1"/>
    <w:rsid w:val="00714BEE"/>
    <w:rsid w:val="00721215"/>
    <w:rsid w:val="00730686"/>
    <w:rsid w:val="007400CF"/>
    <w:rsid w:val="00754CEC"/>
    <w:rsid w:val="007563B7"/>
    <w:rsid w:val="00791F31"/>
    <w:rsid w:val="0079321B"/>
    <w:rsid w:val="00794AE2"/>
    <w:rsid w:val="00797493"/>
    <w:rsid w:val="00797EB3"/>
    <w:rsid w:val="007A30D3"/>
    <w:rsid w:val="007A314B"/>
    <w:rsid w:val="007A7AAC"/>
    <w:rsid w:val="007B23FC"/>
    <w:rsid w:val="007D0C1D"/>
    <w:rsid w:val="007D2000"/>
    <w:rsid w:val="007D4DBF"/>
    <w:rsid w:val="007E3CB4"/>
    <w:rsid w:val="007E4732"/>
    <w:rsid w:val="007E4BA4"/>
    <w:rsid w:val="007F004E"/>
    <w:rsid w:val="007F335A"/>
    <w:rsid w:val="007F4572"/>
    <w:rsid w:val="00803104"/>
    <w:rsid w:val="00804CC3"/>
    <w:rsid w:val="00812901"/>
    <w:rsid w:val="0082276B"/>
    <w:rsid w:val="0082540D"/>
    <w:rsid w:val="00826B9A"/>
    <w:rsid w:val="00827E74"/>
    <w:rsid w:val="00831528"/>
    <w:rsid w:val="00832517"/>
    <w:rsid w:val="00841521"/>
    <w:rsid w:val="00842757"/>
    <w:rsid w:val="00843CC2"/>
    <w:rsid w:val="0085266D"/>
    <w:rsid w:val="008556F8"/>
    <w:rsid w:val="008876B7"/>
    <w:rsid w:val="00895524"/>
    <w:rsid w:val="008A5AA0"/>
    <w:rsid w:val="008D0743"/>
    <w:rsid w:val="008E224D"/>
    <w:rsid w:val="00910FD4"/>
    <w:rsid w:val="009211C7"/>
    <w:rsid w:val="0092530B"/>
    <w:rsid w:val="00933DBA"/>
    <w:rsid w:val="009341A6"/>
    <w:rsid w:val="00935DD4"/>
    <w:rsid w:val="009415A8"/>
    <w:rsid w:val="0094208C"/>
    <w:rsid w:val="00942F17"/>
    <w:rsid w:val="00943236"/>
    <w:rsid w:val="00944483"/>
    <w:rsid w:val="00952CEF"/>
    <w:rsid w:val="009542CD"/>
    <w:rsid w:val="00954E25"/>
    <w:rsid w:val="00955421"/>
    <w:rsid w:val="00963524"/>
    <w:rsid w:val="0097607C"/>
    <w:rsid w:val="00990E9C"/>
    <w:rsid w:val="00994542"/>
    <w:rsid w:val="00994908"/>
    <w:rsid w:val="009A2274"/>
    <w:rsid w:val="009B160B"/>
    <w:rsid w:val="009C237B"/>
    <w:rsid w:val="009C4DD1"/>
    <w:rsid w:val="009E1424"/>
    <w:rsid w:val="009E5A93"/>
    <w:rsid w:val="009F1CC3"/>
    <w:rsid w:val="009F3154"/>
    <w:rsid w:val="00A1211C"/>
    <w:rsid w:val="00A20113"/>
    <w:rsid w:val="00A201A3"/>
    <w:rsid w:val="00A20D78"/>
    <w:rsid w:val="00A2215F"/>
    <w:rsid w:val="00A22839"/>
    <w:rsid w:val="00A23869"/>
    <w:rsid w:val="00A23E19"/>
    <w:rsid w:val="00A317ED"/>
    <w:rsid w:val="00A33185"/>
    <w:rsid w:val="00A443C8"/>
    <w:rsid w:val="00A45260"/>
    <w:rsid w:val="00A53B04"/>
    <w:rsid w:val="00A63942"/>
    <w:rsid w:val="00A661F4"/>
    <w:rsid w:val="00A66326"/>
    <w:rsid w:val="00A7271A"/>
    <w:rsid w:val="00A73FF8"/>
    <w:rsid w:val="00A74D79"/>
    <w:rsid w:val="00A81E19"/>
    <w:rsid w:val="00A9093C"/>
    <w:rsid w:val="00A9723B"/>
    <w:rsid w:val="00AB795F"/>
    <w:rsid w:val="00AC6312"/>
    <w:rsid w:val="00AD0A3F"/>
    <w:rsid w:val="00AD1E77"/>
    <w:rsid w:val="00AD313D"/>
    <w:rsid w:val="00AD5551"/>
    <w:rsid w:val="00AD6D80"/>
    <w:rsid w:val="00AE1A6B"/>
    <w:rsid w:val="00AF2F13"/>
    <w:rsid w:val="00AF31F7"/>
    <w:rsid w:val="00B008A4"/>
    <w:rsid w:val="00B1160D"/>
    <w:rsid w:val="00B139FB"/>
    <w:rsid w:val="00B40995"/>
    <w:rsid w:val="00B444E6"/>
    <w:rsid w:val="00B52011"/>
    <w:rsid w:val="00B53EFF"/>
    <w:rsid w:val="00B54AFA"/>
    <w:rsid w:val="00B5601D"/>
    <w:rsid w:val="00B63E70"/>
    <w:rsid w:val="00B671A4"/>
    <w:rsid w:val="00B804E8"/>
    <w:rsid w:val="00B95A51"/>
    <w:rsid w:val="00BA77F8"/>
    <w:rsid w:val="00BB1D8A"/>
    <w:rsid w:val="00BC206C"/>
    <w:rsid w:val="00BC431A"/>
    <w:rsid w:val="00BC5A41"/>
    <w:rsid w:val="00BD1396"/>
    <w:rsid w:val="00BF52C7"/>
    <w:rsid w:val="00BF5AFA"/>
    <w:rsid w:val="00C006B2"/>
    <w:rsid w:val="00C01A35"/>
    <w:rsid w:val="00C03772"/>
    <w:rsid w:val="00C04EDA"/>
    <w:rsid w:val="00C119A2"/>
    <w:rsid w:val="00C26B1D"/>
    <w:rsid w:val="00C2753D"/>
    <w:rsid w:val="00C42C4A"/>
    <w:rsid w:val="00C51B88"/>
    <w:rsid w:val="00C53F1A"/>
    <w:rsid w:val="00C57267"/>
    <w:rsid w:val="00C616FF"/>
    <w:rsid w:val="00C62B63"/>
    <w:rsid w:val="00C658B6"/>
    <w:rsid w:val="00C709DE"/>
    <w:rsid w:val="00C72B5B"/>
    <w:rsid w:val="00C869F3"/>
    <w:rsid w:val="00C90630"/>
    <w:rsid w:val="00C91B14"/>
    <w:rsid w:val="00C96050"/>
    <w:rsid w:val="00C975CB"/>
    <w:rsid w:val="00CC18AC"/>
    <w:rsid w:val="00CD7D5D"/>
    <w:rsid w:val="00CF0621"/>
    <w:rsid w:val="00CF0FC4"/>
    <w:rsid w:val="00CF6932"/>
    <w:rsid w:val="00CF6A37"/>
    <w:rsid w:val="00CF711A"/>
    <w:rsid w:val="00D01FE3"/>
    <w:rsid w:val="00D02F70"/>
    <w:rsid w:val="00D0381E"/>
    <w:rsid w:val="00D06CA3"/>
    <w:rsid w:val="00D07F46"/>
    <w:rsid w:val="00D12565"/>
    <w:rsid w:val="00D13B18"/>
    <w:rsid w:val="00D170E5"/>
    <w:rsid w:val="00D20FEC"/>
    <w:rsid w:val="00D22E70"/>
    <w:rsid w:val="00D30784"/>
    <w:rsid w:val="00D30A84"/>
    <w:rsid w:val="00D37F2F"/>
    <w:rsid w:val="00D415B9"/>
    <w:rsid w:val="00D448A9"/>
    <w:rsid w:val="00D44C83"/>
    <w:rsid w:val="00D50C4A"/>
    <w:rsid w:val="00D528E8"/>
    <w:rsid w:val="00D771D0"/>
    <w:rsid w:val="00D835CF"/>
    <w:rsid w:val="00D86995"/>
    <w:rsid w:val="00D92DA8"/>
    <w:rsid w:val="00DA176F"/>
    <w:rsid w:val="00DA26FB"/>
    <w:rsid w:val="00DA36BE"/>
    <w:rsid w:val="00DB212E"/>
    <w:rsid w:val="00DB3746"/>
    <w:rsid w:val="00DB6C3D"/>
    <w:rsid w:val="00DC5ACF"/>
    <w:rsid w:val="00DC698B"/>
    <w:rsid w:val="00DD0D06"/>
    <w:rsid w:val="00DD1530"/>
    <w:rsid w:val="00DD3573"/>
    <w:rsid w:val="00DD7468"/>
    <w:rsid w:val="00DE1D20"/>
    <w:rsid w:val="00DE25E9"/>
    <w:rsid w:val="00DE58CB"/>
    <w:rsid w:val="00DE71D3"/>
    <w:rsid w:val="00DE72CF"/>
    <w:rsid w:val="00DF08A0"/>
    <w:rsid w:val="00DF2EBE"/>
    <w:rsid w:val="00E13BEF"/>
    <w:rsid w:val="00E57761"/>
    <w:rsid w:val="00E65A5C"/>
    <w:rsid w:val="00E70760"/>
    <w:rsid w:val="00E74E89"/>
    <w:rsid w:val="00E770A0"/>
    <w:rsid w:val="00E9253C"/>
    <w:rsid w:val="00E94FB8"/>
    <w:rsid w:val="00EA5D83"/>
    <w:rsid w:val="00EA6220"/>
    <w:rsid w:val="00EB3CF0"/>
    <w:rsid w:val="00EB45B5"/>
    <w:rsid w:val="00EB5E57"/>
    <w:rsid w:val="00EB61DB"/>
    <w:rsid w:val="00EC0638"/>
    <w:rsid w:val="00EC23EB"/>
    <w:rsid w:val="00EC7FF0"/>
    <w:rsid w:val="00ED1AD0"/>
    <w:rsid w:val="00ED4AFD"/>
    <w:rsid w:val="00ED6776"/>
    <w:rsid w:val="00EE4FBE"/>
    <w:rsid w:val="00F038A1"/>
    <w:rsid w:val="00F06E4E"/>
    <w:rsid w:val="00F17B02"/>
    <w:rsid w:val="00F238E0"/>
    <w:rsid w:val="00F303AC"/>
    <w:rsid w:val="00F31E55"/>
    <w:rsid w:val="00F32736"/>
    <w:rsid w:val="00F42E1E"/>
    <w:rsid w:val="00F51E01"/>
    <w:rsid w:val="00F54C52"/>
    <w:rsid w:val="00F56030"/>
    <w:rsid w:val="00F5649A"/>
    <w:rsid w:val="00F67DC5"/>
    <w:rsid w:val="00F82342"/>
    <w:rsid w:val="00F83E75"/>
    <w:rsid w:val="00F877DB"/>
    <w:rsid w:val="00F91AE4"/>
    <w:rsid w:val="00F93C8B"/>
    <w:rsid w:val="00F959DD"/>
    <w:rsid w:val="00F960D5"/>
    <w:rsid w:val="00FA53F4"/>
    <w:rsid w:val="00FB1231"/>
    <w:rsid w:val="00FC0199"/>
    <w:rsid w:val="00FC0C49"/>
    <w:rsid w:val="00FC1C5C"/>
    <w:rsid w:val="00FE0D05"/>
    <w:rsid w:val="00FE17E2"/>
    <w:rsid w:val="00FE43A4"/>
    <w:rsid w:val="00FE7E73"/>
    <w:rsid w:val="00FF4096"/>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EC7FF0"/>
    <w:rPr>
      <w:sz w:val="16"/>
      <w:szCs w:val="16"/>
    </w:rPr>
  </w:style>
  <w:style w:type="paragraph" w:styleId="CommentText">
    <w:name w:val="annotation text"/>
    <w:basedOn w:val="Normal"/>
    <w:link w:val="CommentTextChar"/>
    <w:unhideWhenUsed/>
    <w:rsid w:val="00EC7FF0"/>
    <w:rPr>
      <w:sz w:val="20"/>
    </w:rPr>
  </w:style>
  <w:style w:type="character" w:customStyle="1" w:styleId="CommentTextChar">
    <w:name w:val="Comment Text Char"/>
    <w:basedOn w:val="DefaultParagraphFont"/>
    <w:link w:val="CommentText"/>
    <w:semiHidden/>
    <w:rsid w:val="00EC7FF0"/>
    <w:rPr>
      <w:rFonts w:ascii="Arial" w:hAnsi="Arial"/>
      <w:lang w:eastAsia="en-US"/>
    </w:rPr>
  </w:style>
  <w:style w:type="paragraph" w:styleId="CommentSubject">
    <w:name w:val="annotation subject"/>
    <w:basedOn w:val="CommentText"/>
    <w:next w:val="CommentText"/>
    <w:link w:val="CommentSubjectChar"/>
    <w:semiHidden/>
    <w:unhideWhenUsed/>
    <w:rsid w:val="00EC7FF0"/>
    <w:rPr>
      <w:b/>
      <w:bCs/>
    </w:rPr>
  </w:style>
  <w:style w:type="character" w:customStyle="1" w:styleId="CommentSubjectChar">
    <w:name w:val="Comment Subject Char"/>
    <w:basedOn w:val="CommentTextChar"/>
    <w:link w:val="CommentSubject"/>
    <w:semiHidden/>
    <w:rsid w:val="00EC7FF0"/>
    <w:rPr>
      <w:rFonts w:ascii="Arial" w:hAnsi="Arial"/>
      <w:b/>
      <w:bCs/>
      <w:lang w:eastAsia="en-US"/>
    </w:rPr>
  </w:style>
  <w:style w:type="paragraph" w:styleId="Revision">
    <w:name w:val="Revision"/>
    <w:hidden/>
    <w:uiPriority w:val="99"/>
    <w:semiHidden/>
    <w:rsid w:val="0083251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8733299">
      <w:bodyDiv w:val="1"/>
      <w:marLeft w:val="0"/>
      <w:marRight w:val="0"/>
      <w:marTop w:val="0"/>
      <w:marBottom w:val="0"/>
      <w:divBdr>
        <w:top w:val="none" w:sz="0" w:space="0" w:color="auto"/>
        <w:left w:val="none" w:sz="0" w:space="0" w:color="auto"/>
        <w:bottom w:val="none" w:sz="0" w:space="0" w:color="auto"/>
        <w:right w:val="none" w:sz="0" w:space="0" w:color="auto"/>
      </w:divBdr>
    </w:div>
    <w:div w:id="60581927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13751946">
      <w:bodyDiv w:val="1"/>
      <w:marLeft w:val="0"/>
      <w:marRight w:val="0"/>
      <w:marTop w:val="0"/>
      <w:marBottom w:val="0"/>
      <w:divBdr>
        <w:top w:val="none" w:sz="0" w:space="0" w:color="auto"/>
        <w:left w:val="none" w:sz="0" w:space="0" w:color="auto"/>
        <w:bottom w:val="none" w:sz="0" w:space="0" w:color="auto"/>
        <w:right w:val="none" w:sz="0" w:space="0" w:color="auto"/>
      </w:divBdr>
    </w:div>
    <w:div w:id="1425153117">
      <w:bodyDiv w:val="1"/>
      <w:marLeft w:val="0"/>
      <w:marRight w:val="0"/>
      <w:marTop w:val="0"/>
      <w:marBottom w:val="0"/>
      <w:divBdr>
        <w:top w:val="none" w:sz="0" w:space="0" w:color="auto"/>
        <w:left w:val="none" w:sz="0" w:space="0" w:color="auto"/>
        <w:bottom w:val="none" w:sz="0" w:space="0" w:color="auto"/>
        <w:right w:val="none" w:sz="0" w:space="0" w:color="auto"/>
      </w:divBdr>
    </w:div>
    <w:div w:id="1758013155">
      <w:bodyDiv w:val="1"/>
      <w:marLeft w:val="0"/>
      <w:marRight w:val="0"/>
      <w:marTop w:val="0"/>
      <w:marBottom w:val="0"/>
      <w:divBdr>
        <w:top w:val="none" w:sz="0" w:space="0" w:color="auto"/>
        <w:left w:val="none" w:sz="0" w:space="0" w:color="auto"/>
        <w:bottom w:val="none" w:sz="0" w:space="0" w:color="auto"/>
        <w:right w:val="none" w:sz="0" w:space="0" w:color="auto"/>
      </w:divBdr>
    </w:div>
    <w:div w:id="20489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remy.randall@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2331</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2023-05-16T08:39:00Z</dcterms:created>
  <dcterms:modified xsi:type="dcterms:W3CDTF">2023-05-17T13:47:00Z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